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7BFA4C"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绩效经营激活增长</w:t>
      </w:r>
    </w:p>
    <w:p w14:paraId="248E0CAE"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——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VUCA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时代激活业绩增长的绩效系统</w:t>
      </w:r>
    </w:p>
    <w:p w14:paraId="5E079A6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500" w:lineRule="exact"/>
        <w:ind w:left="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1F3864"/>
          <w:spacing w:val="-17"/>
          <w:sz w:val="24"/>
          <w:szCs w:val="24"/>
        </w:rPr>
        <w:t>【课程背景】</w:t>
      </w:r>
      <w:r>
        <w:rPr>
          <w:rFonts w:hint="eastAsia" w:ascii="微软雅黑" w:hAnsi="微软雅黑" w:eastAsia="微软雅黑" w:cs="微软雅黑"/>
          <w:b/>
          <w:bCs/>
          <w:spacing w:val="-17"/>
          <w:sz w:val="24"/>
          <w:szCs w:val="24"/>
        </w:rPr>
        <w:t>：</w:t>
      </w:r>
    </w:p>
    <w:p w14:paraId="07C7135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500" w:lineRule="exact"/>
        <w:ind w:left="33" w:right="172" w:firstLine="561"/>
        <w:jc w:val="both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1"/>
          <w:sz w:val="24"/>
          <w:szCs w:val="24"/>
        </w:rPr>
        <w:t>近年来外部环境和经济形势的变化，大读书中小企业经营遇到了前所未有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的挑战。如何实现增长？在咨询辅导的实践中我们依然看</w:t>
      </w:r>
      <w:r>
        <w:rPr>
          <w:rFonts w:hint="eastAsia" w:ascii="微软雅黑" w:hAnsi="微软雅黑" w:eastAsia="微软雅黑" w:cs="微软雅黑"/>
          <w:spacing w:val="-4"/>
          <w:sz w:val="24"/>
          <w:szCs w:val="24"/>
        </w:rPr>
        <w:t>到有少数企业快速调整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组织结构，找到组织增长引擎、构建全局一盘棋的绩效系</w:t>
      </w:r>
      <w:r>
        <w:rPr>
          <w:rFonts w:hint="eastAsia" w:ascii="微软雅黑" w:hAnsi="微软雅黑" w:eastAsia="微软雅黑" w:cs="微软雅黑"/>
          <w:spacing w:val="-4"/>
          <w:sz w:val="24"/>
          <w:szCs w:val="24"/>
        </w:rPr>
        <w:t>统，重新评估组织与员</w:t>
      </w:r>
      <w:r>
        <w:rPr>
          <w:rFonts w:hint="eastAsia" w:ascii="微软雅黑" w:hAnsi="微软雅黑" w:eastAsia="微软雅黑" w:cs="微软雅黑"/>
          <w:spacing w:val="-1"/>
          <w:sz w:val="24"/>
          <w:szCs w:val="24"/>
        </w:rPr>
        <w:t>工，打造了公司战略绩效落地的一致性管理系统，推动企业实现了倍速增长。</w:t>
      </w:r>
    </w:p>
    <w:p w14:paraId="43D6079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00" w:lineRule="exact"/>
        <w:ind w:left="25" w:right="111" w:firstLine="573"/>
        <w:jc w:val="both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1"/>
          <w:sz w:val="24"/>
          <w:szCs w:val="24"/>
        </w:rPr>
        <w:t>经过广泛调研分析，我们萃取了高成长企业激活增长的方法，构建了本套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课程，我们将打破传统绩效管理的理念，主要围绕促进增长，</w:t>
      </w:r>
      <w:r>
        <w:rPr>
          <w:rFonts w:hint="eastAsia" w:ascii="微软雅黑" w:hAnsi="微软雅黑" w:eastAsia="微软雅黑" w:cs="微软雅黑"/>
          <w:spacing w:val="-60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目标达成而展开。重构绩效，让绩效回归组织、回归目标、回归增长、回归人性，扭转传统绩效考核带来的组织分裂和“两面性”实现力出一孔、利出一孔，是当下大多数企业的</w:t>
      </w:r>
      <w:r>
        <w:rPr>
          <w:rFonts w:hint="eastAsia" w:ascii="微软雅黑" w:hAnsi="微软雅黑" w:eastAsia="微软雅黑" w:cs="微软雅黑"/>
          <w:spacing w:val="-1"/>
          <w:sz w:val="24"/>
          <w:szCs w:val="24"/>
        </w:rPr>
        <w:t>需要、是时代的呼唤，更是大多数企业家的殷切希望。</w:t>
      </w:r>
    </w:p>
    <w:p w14:paraId="0386FCF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500" w:lineRule="exact"/>
        <w:ind w:left="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1F3864"/>
          <w:spacing w:val="-13"/>
          <w:sz w:val="24"/>
          <w:szCs w:val="24"/>
        </w:rPr>
        <w:t>【</w:t>
      </w:r>
      <w:r>
        <w:rPr>
          <w:rFonts w:hint="eastAsia" w:ascii="微软雅黑" w:hAnsi="微软雅黑" w:eastAsia="微软雅黑" w:cs="微软雅黑"/>
          <w:color w:val="1F3864"/>
          <w:spacing w:val="-44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1F3864"/>
          <w:spacing w:val="-13"/>
          <w:sz w:val="24"/>
          <w:szCs w:val="24"/>
        </w:rPr>
        <w:t>多数企业存在的绩效增长困惑】：</w:t>
      </w:r>
    </w:p>
    <w:p w14:paraId="736E571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3" w:line="500" w:lineRule="exact"/>
        <w:ind w:left="46" w:right="172" w:firstLine="57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FF0000"/>
          <w:spacing w:val="-3"/>
          <w:sz w:val="24"/>
          <w:szCs w:val="24"/>
        </w:rPr>
        <w:t>困惑1：没有完整的绩效管理体系。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很多企业缺乏完整的绩</w:t>
      </w:r>
      <w:r>
        <w:rPr>
          <w:rFonts w:hint="eastAsia" w:ascii="微软雅黑" w:hAnsi="微软雅黑" w:eastAsia="微软雅黑" w:cs="微软雅黑"/>
          <w:spacing w:val="-4"/>
          <w:sz w:val="24"/>
          <w:szCs w:val="24"/>
        </w:rPr>
        <w:t>效管理体系，要</w:t>
      </w:r>
      <w:r>
        <w:rPr>
          <w:rFonts w:hint="eastAsia" w:ascii="微软雅黑" w:hAnsi="微软雅黑" w:eastAsia="微软雅黑" w:cs="微软雅黑"/>
          <w:spacing w:val="-1"/>
          <w:sz w:val="24"/>
          <w:szCs w:val="24"/>
        </w:rPr>
        <w:t>么干脆不搞绩效管理，要么简单打个分，绩效管理成为走过场的形式主义；</w:t>
      </w:r>
    </w:p>
    <w:p w14:paraId="59B7088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" w:line="500" w:lineRule="exact"/>
        <w:ind w:left="28" w:right="102" w:firstLine="596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FF0000"/>
          <w:spacing w:val="-1"/>
          <w:sz w:val="24"/>
          <w:szCs w:val="24"/>
        </w:rPr>
        <w:t>困惑2：绩效过度。</w:t>
      </w:r>
      <w:r>
        <w:rPr>
          <w:rFonts w:hint="eastAsia" w:ascii="微软雅黑" w:hAnsi="微软雅黑" w:eastAsia="微软雅黑" w:cs="微软雅黑"/>
          <w:spacing w:val="-1"/>
          <w:sz w:val="24"/>
          <w:szCs w:val="24"/>
        </w:rPr>
        <w:t>有的企业认为“非量化不绩效”耗费大量时间和人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力，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把所有的工作都进行了量化打分，但是越考核员工越反感，指标得不到</w:t>
      </w:r>
      <w:r>
        <w:rPr>
          <w:rFonts w:hint="eastAsia" w:ascii="微软雅黑" w:hAnsi="微软雅黑" w:eastAsia="微软雅黑" w:cs="微软雅黑"/>
          <w:spacing w:val="-4"/>
          <w:sz w:val="24"/>
          <w:szCs w:val="24"/>
        </w:rPr>
        <w:t>提升，反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而逼走了优秀员工；</w:t>
      </w:r>
    </w:p>
    <w:p w14:paraId="3AEA6E7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00" w:lineRule="exact"/>
        <w:ind w:left="34" w:right="172" w:firstLine="58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FF0000"/>
          <w:spacing w:val="3"/>
          <w:sz w:val="24"/>
          <w:szCs w:val="24"/>
        </w:rPr>
        <w:t>困惑3</w:t>
      </w:r>
      <w:r>
        <w:rPr>
          <w:rFonts w:hint="eastAsia" w:ascii="微软雅黑" w:hAnsi="微软雅黑" w:eastAsia="微软雅黑" w:cs="微软雅黑"/>
          <w:color w:val="FF0000"/>
          <w:spacing w:val="-72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color w:val="FF0000"/>
          <w:spacing w:val="3"/>
          <w:sz w:val="24"/>
          <w:szCs w:val="24"/>
        </w:rPr>
        <w:t>：与业绩无关的绩效考核。</w:t>
      </w:r>
      <w:r>
        <w:rPr>
          <w:rFonts w:hint="eastAsia" w:ascii="微软雅黑" w:hAnsi="微软雅黑" w:eastAsia="微软雅黑" w:cs="微软雅黑"/>
          <w:spacing w:val="3"/>
          <w:sz w:val="24"/>
          <w:szCs w:val="24"/>
        </w:rPr>
        <w:t>绩效月月搞、年</w:t>
      </w:r>
      <w:r>
        <w:rPr>
          <w:rFonts w:hint="eastAsia" w:ascii="微软雅黑" w:hAnsi="微软雅黑" w:eastAsia="微软雅黑" w:cs="微软雅黑"/>
          <w:spacing w:val="2"/>
          <w:sz w:val="24"/>
          <w:szCs w:val="24"/>
        </w:rPr>
        <w:t>年搞，员工的绩效一路</w:t>
      </w:r>
      <w:r>
        <w:rPr>
          <w:rFonts w:hint="eastAsia" w:ascii="微软雅黑" w:hAnsi="微软雅黑" w:eastAsia="微软雅黑" w:cs="微软雅黑"/>
          <w:spacing w:val="-10"/>
          <w:sz w:val="24"/>
          <w:szCs w:val="24"/>
        </w:rPr>
        <w:t>高歌猛进，企业的经营一</w:t>
      </w:r>
      <w:r>
        <w:rPr>
          <w:rFonts w:hint="eastAsia" w:ascii="微软雅黑" w:hAnsi="微软雅黑" w:eastAsia="微软雅黑" w:cs="微软雅黑"/>
          <w:spacing w:val="-41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10"/>
          <w:sz w:val="24"/>
          <w:szCs w:val="24"/>
        </w:rPr>
        <w:t>日不如一</w:t>
      </w:r>
      <w:r>
        <w:rPr>
          <w:rFonts w:hint="eastAsia" w:ascii="微软雅黑" w:hAnsi="微软雅黑" w:eastAsia="微软雅黑" w:cs="微软雅黑"/>
          <w:spacing w:val="-51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10"/>
          <w:sz w:val="24"/>
          <w:szCs w:val="24"/>
        </w:rPr>
        <w:t>日；</w:t>
      </w:r>
    </w:p>
    <w:p w14:paraId="0EAEEB5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63" w:right="172" w:firstLine="560"/>
        <w:textAlignment w:val="baseline"/>
        <w:rPr>
          <w:rFonts w:hint="eastAsia" w:ascii="微软雅黑" w:hAnsi="微软雅黑" w:eastAsia="微软雅黑" w:cs="微软雅黑"/>
          <w:sz w:val="24"/>
          <w:szCs w:val="24"/>
        </w:rPr>
        <w:sectPr>
          <w:pgSz w:w="11906" w:h="16839"/>
          <w:pgMar w:top="1431" w:right="1626" w:bottom="0" w:left="1785" w:header="0" w:footer="0" w:gutter="0"/>
          <w:cols w:space="720" w:num="1"/>
        </w:sectPr>
      </w:pPr>
      <w:r>
        <w:rPr>
          <w:rFonts w:hint="eastAsia" w:ascii="微软雅黑" w:hAnsi="微软雅黑" w:eastAsia="微软雅黑" w:cs="微软雅黑"/>
          <w:position w:val="-63"/>
          <w:sz w:val="24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186690</wp:posOffset>
            </wp:positionH>
            <wp:positionV relativeFrom="paragraph">
              <wp:posOffset>817880</wp:posOffset>
            </wp:positionV>
            <wp:extent cx="5266690" cy="2019300"/>
            <wp:effectExtent l="0" t="0" r="0" b="0"/>
            <wp:wrapTopAndBottom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944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color w:val="FF0000"/>
          <w:sz w:val="24"/>
          <w:szCs w:val="24"/>
        </w:rPr>
        <w:t>困惑4：关键指标不关键。</w:t>
      </w:r>
      <w:r>
        <w:rPr>
          <w:rFonts w:hint="eastAsia" w:ascii="微软雅黑" w:hAnsi="微软雅黑" w:eastAsia="微软雅黑" w:cs="微软雅黑"/>
          <w:sz w:val="24"/>
          <w:szCs w:val="24"/>
        </w:rPr>
        <w:t>HR</w:t>
      </w:r>
      <w:r>
        <w:rPr>
          <w:rFonts w:hint="eastAsia" w:ascii="微软雅黑" w:hAnsi="微软雅黑" w:eastAsia="微软雅黑" w:cs="微软雅黑"/>
          <w:spacing w:val="-38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z w:val="24"/>
          <w:szCs w:val="24"/>
        </w:rPr>
        <w:t>部门不懂绩效管理，为</w:t>
      </w:r>
      <w:r>
        <w:rPr>
          <w:rFonts w:hint="eastAsia" w:ascii="微软雅黑" w:hAnsi="微软雅黑" w:eastAsia="微软雅黑" w:cs="微软雅黑"/>
          <w:spacing w:val="-68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z w:val="24"/>
          <w:szCs w:val="24"/>
        </w:rPr>
        <w:t>了完成绩效考核，列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了一系列绩效指标，但是发现和目标、业绩关联度不高，无法起到促进作用</w:t>
      </w:r>
      <w:bookmarkStart w:id="0" w:name="_GoBack"/>
      <w:bookmarkEnd w:id="0"/>
    </w:p>
    <w:p w14:paraId="2ACB539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6"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1F3864"/>
          <w:spacing w:val="-17"/>
          <w:sz w:val="24"/>
          <w:szCs w:val="24"/>
        </w:rPr>
        <w:t>【课程时间】：</w:t>
      </w:r>
    </w:p>
    <w:p w14:paraId="7C2BA95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500" w:lineRule="exact"/>
        <w:ind w:left="58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14"/>
          <w:sz w:val="24"/>
          <w:szCs w:val="24"/>
        </w:rPr>
        <w:t>2</w:t>
      </w:r>
      <w:r>
        <w:rPr>
          <w:rFonts w:hint="eastAsia" w:ascii="微软雅黑" w:hAnsi="微软雅黑" w:eastAsia="微软雅黑" w:cs="微软雅黑"/>
          <w:spacing w:val="-37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14"/>
          <w:sz w:val="24"/>
          <w:szCs w:val="24"/>
        </w:rPr>
        <w:t>天，6</w:t>
      </w:r>
      <w:r>
        <w:rPr>
          <w:rFonts w:hint="eastAsia" w:ascii="微软雅黑" w:hAnsi="微软雅黑" w:eastAsia="微软雅黑" w:cs="微软雅黑"/>
          <w:spacing w:val="-38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14"/>
          <w:sz w:val="24"/>
          <w:szCs w:val="24"/>
        </w:rPr>
        <w:t>小时/天</w:t>
      </w:r>
    </w:p>
    <w:p w14:paraId="18ED907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500" w:lineRule="exact"/>
        <w:ind w:left="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1F3864"/>
          <w:spacing w:val="-17"/>
          <w:sz w:val="24"/>
          <w:szCs w:val="24"/>
        </w:rPr>
        <w:t>【课程对象】：</w:t>
      </w:r>
    </w:p>
    <w:p w14:paraId="1C8217E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500" w:lineRule="exact"/>
        <w:ind w:left="596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企业主管、直线经理、HR</w:t>
      </w:r>
      <w:r>
        <w:rPr>
          <w:rFonts w:hint="eastAsia" w:ascii="微软雅黑" w:hAnsi="微软雅黑" w:eastAsia="微软雅黑" w:cs="微软雅黑"/>
          <w:spacing w:val="-27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人员、总经理等管理人员</w:t>
      </w:r>
    </w:p>
    <w:p w14:paraId="46BF539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500" w:lineRule="exact"/>
        <w:ind w:left="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1F3864"/>
          <w:spacing w:val="-17"/>
          <w:sz w:val="24"/>
          <w:szCs w:val="24"/>
        </w:rPr>
        <w:t>【课程目录】：</w:t>
      </w:r>
    </w:p>
    <w:p w14:paraId="4CB2F2E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500" w:lineRule="exact"/>
        <w:ind w:left="41"/>
        <w:textAlignment w:val="baseline"/>
        <w:outlineLvl w:val="1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pacing w:val="-5"/>
          <w:sz w:val="24"/>
          <w:szCs w:val="24"/>
        </w:rPr>
        <w:t>一、走出绩效考核的误区</w:t>
      </w:r>
    </w:p>
    <w:p w14:paraId="79F5656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500" w:lineRule="exact"/>
        <w:ind w:left="29" w:right="5680" w:firstLine="4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绩效管理不等于绩效考核</w:t>
      </w:r>
      <w:r>
        <w:rPr>
          <w:rFonts w:hint="eastAsia" w:ascii="微软雅黑" w:hAnsi="微软雅黑" w:eastAsia="微软雅黑" w:cs="微软雅黑"/>
          <w:spacing w:val="-6"/>
          <w:sz w:val="24"/>
          <w:szCs w:val="24"/>
        </w:rPr>
        <w:t>推动增长</w:t>
      </w:r>
      <w:r>
        <w:rPr>
          <w:rFonts w:hint="eastAsia" w:ascii="微软雅黑" w:hAnsi="微软雅黑" w:eastAsia="微软雅黑" w:cs="微软雅黑"/>
          <w:spacing w:val="-53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6"/>
          <w:sz w:val="24"/>
          <w:szCs w:val="24"/>
        </w:rPr>
        <w:t>VS</w:t>
      </w:r>
      <w:r>
        <w:rPr>
          <w:rFonts w:hint="eastAsia" w:ascii="微软雅黑" w:hAnsi="微软雅黑" w:eastAsia="微软雅黑" w:cs="微软雅黑"/>
          <w:spacing w:val="-43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6"/>
          <w:sz w:val="24"/>
          <w:szCs w:val="24"/>
        </w:rPr>
        <w:t>规范管理</w:t>
      </w:r>
    </w:p>
    <w:p w14:paraId="62D12FF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00" w:lineRule="exact"/>
        <w:ind w:left="29" w:right="5680" w:firstLine="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业绩增长三大依赖性条件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企业面临的三大挑战</w:t>
      </w:r>
    </w:p>
    <w:p w14:paraId="1BD7F37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00" w:lineRule="exact"/>
        <w:ind w:left="23" w:right="5680" w:firstLine="1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柯林斯的研究引发的启示传统绩效带来的问题</w:t>
      </w:r>
    </w:p>
    <w:p w14:paraId="00EB9BF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00" w:lineRule="exact"/>
        <w:ind w:left="33" w:right="5680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绩效管理的三种不同视角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绩效演变的五个阶段</w:t>
      </w:r>
    </w:p>
    <w:p w14:paraId="3205F95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00" w:lineRule="exact"/>
        <w:ind w:left="2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人力资源在绩效管理中的角色</w:t>
      </w:r>
    </w:p>
    <w:p w14:paraId="7DAAF59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3" w:line="500" w:lineRule="exact"/>
        <w:ind w:left="37"/>
        <w:textAlignment w:val="baseline"/>
        <w:outlineLvl w:val="1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pacing w:val="-5"/>
          <w:sz w:val="24"/>
          <w:szCs w:val="24"/>
        </w:rPr>
        <w:t>二、以战略目标为牵引</w:t>
      </w:r>
    </w:p>
    <w:p w14:paraId="03390F1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2" w:line="500" w:lineRule="exact"/>
        <w:ind w:left="26" w:right="6640" w:firstLine="15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5"/>
          <w:sz w:val="24"/>
          <w:szCs w:val="24"/>
        </w:rPr>
        <w:t>战略上找到增量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运营上锁定关键管理上盘活策略</w:t>
      </w:r>
    </w:p>
    <w:p w14:paraId="4F68F19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00" w:lineRule="exact"/>
        <w:ind w:left="26" w:right="6160" w:firstLine="50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7"/>
          <w:sz w:val="24"/>
          <w:szCs w:val="24"/>
        </w:rPr>
        <w:t>目标设定三看定三杆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运行上的两个关键</w:t>
      </w:r>
    </w:p>
    <w:p w14:paraId="1D613C3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00" w:lineRule="exact"/>
        <w:ind w:left="41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一级指标分解的四个层面</w:t>
      </w:r>
    </w:p>
    <w:p w14:paraId="2A0616F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3" w:line="500" w:lineRule="exact"/>
        <w:ind w:left="28" w:right="6400"/>
        <w:jc w:val="both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锁定部门协同目标</w:t>
      </w:r>
      <w:r>
        <w:rPr>
          <w:rFonts w:hint="eastAsia" w:ascii="微软雅黑" w:hAnsi="微软雅黑" w:eastAsia="微软雅黑" w:cs="微软雅黑"/>
          <w:spacing w:val="-7"/>
          <w:sz w:val="24"/>
          <w:szCs w:val="24"/>
        </w:rPr>
        <w:t>锁定部门关键</w:t>
      </w:r>
      <w:r>
        <w:rPr>
          <w:rFonts w:hint="eastAsia" w:ascii="微软雅黑" w:hAnsi="微软雅黑" w:eastAsia="微软雅黑" w:cs="微软雅黑"/>
          <w:spacing w:val="-44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7"/>
          <w:sz w:val="24"/>
          <w:szCs w:val="24"/>
        </w:rPr>
        <w:t>KPI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锁定关键绩效动作</w:t>
      </w:r>
    </w:p>
    <w:p w14:paraId="266A5C1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00" w:lineRule="exact"/>
        <w:ind w:left="41"/>
        <w:textAlignment w:val="baseline"/>
        <w:outlineLvl w:val="1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pacing w:val="-4"/>
          <w:sz w:val="24"/>
          <w:szCs w:val="24"/>
        </w:rPr>
        <w:t>三、以部门绩效合约为落点</w:t>
      </w:r>
    </w:p>
    <w:p w14:paraId="0332ACB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500" w:lineRule="exact"/>
        <w:ind w:left="28" w:right="6160" w:hanging="2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避免关键指标不关键不可忽略的两类指标指标设计三用三不用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目标值要略激进</w:t>
      </w:r>
    </w:p>
    <w:p w14:paraId="12055F3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27" w:right="6160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考核周期长短相宜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权重分配避免平均化</w:t>
      </w:r>
    </w:p>
    <w:p w14:paraId="6F52D1E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4FA62F3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5" w:line="500" w:lineRule="exact"/>
        <w:ind w:left="2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2"/>
          <w:sz w:val="24"/>
          <w:szCs w:val="24"/>
        </w:rPr>
        <w:t>指标定义2W1H</w:t>
      </w:r>
      <w:r>
        <w:rPr>
          <w:rFonts w:hint="eastAsia" w:ascii="微软雅黑" w:hAnsi="微软雅黑" w:eastAsia="微软雅黑" w:cs="微软雅黑"/>
          <w:spacing w:val="-43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2"/>
          <w:sz w:val="24"/>
          <w:szCs w:val="24"/>
        </w:rPr>
        <w:t>原则</w:t>
      </w:r>
    </w:p>
    <w:p w14:paraId="53D389A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500" w:lineRule="exact"/>
        <w:ind w:left="31" w:right="594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8"/>
          <w:sz w:val="24"/>
          <w:szCs w:val="24"/>
        </w:rPr>
        <w:t>计分规则设计六句</w:t>
      </w:r>
      <w:r>
        <w:rPr>
          <w:rFonts w:hint="eastAsia" w:ascii="微软雅黑" w:hAnsi="微软雅黑" w:eastAsia="微软雅黑" w:cs="微软雅黑"/>
          <w:spacing w:val="-59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8"/>
          <w:sz w:val="24"/>
          <w:szCs w:val="24"/>
        </w:rPr>
        <w:t>口诀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数据来源交叉提供</w:t>
      </w:r>
    </w:p>
    <w:p w14:paraId="01DE356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00" w:lineRule="exact"/>
        <w:ind w:left="59"/>
        <w:textAlignment w:val="baseline"/>
        <w:outlineLvl w:val="1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pacing w:val="-6"/>
          <w:sz w:val="24"/>
          <w:szCs w:val="24"/>
        </w:rPr>
        <w:t>四、以过程管理为主要抓手</w:t>
      </w:r>
    </w:p>
    <w:p w14:paraId="0B29805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500" w:lineRule="exact"/>
        <w:ind w:left="26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被扭曲的绩效逻辑</w:t>
      </w:r>
    </w:p>
    <w:p w14:paraId="7B36D0C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3" w:line="500" w:lineRule="exact"/>
        <w:ind w:left="25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赋能式反馈四种方法</w:t>
      </w:r>
    </w:p>
    <w:p w14:paraId="51FF9BA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line="500" w:lineRule="exact"/>
        <w:ind w:left="2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发展式面谈六步要领</w:t>
      </w:r>
    </w:p>
    <w:p w14:paraId="6C85BAB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500" w:lineRule="exact"/>
        <w:ind w:left="2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用</w:t>
      </w:r>
      <w:r>
        <w:rPr>
          <w:rFonts w:hint="eastAsia" w:ascii="微软雅黑" w:hAnsi="微软雅黑" w:eastAsia="微软雅黑" w:cs="微软雅黑"/>
          <w:spacing w:val="-40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1</w:t>
      </w:r>
      <w:r>
        <w:rPr>
          <w:rFonts w:hint="eastAsia" w:ascii="微软雅黑" w:hAnsi="微软雅黑" w:eastAsia="微软雅黑" w:cs="微软雅黑"/>
          <w:spacing w:val="-47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个小时撬动167</w:t>
      </w:r>
      <w:r>
        <w:rPr>
          <w:rFonts w:hint="eastAsia" w:ascii="微软雅黑" w:hAnsi="微软雅黑" w:eastAsia="微软雅黑" w:cs="微软雅黑"/>
          <w:spacing w:val="-38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小时</w:t>
      </w:r>
    </w:p>
    <w:p w14:paraId="28D4A4D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500" w:lineRule="exact"/>
        <w:ind w:left="34"/>
        <w:textAlignment w:val="baseline"/>
        <w:outlineLvl w:val="1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pacing w:val="-4"/>
          <w:sz w:val="24"/>
          <w:szCs w:val="24"/>
        </w:rPr>
        <w:t>五、构建双回路多维度评估机制</w:t>
      </w:r>
    </w:p>
    <w:p w14:paraId="2DBBAE9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500" w:lineRule="exact"/>
        <w:ind w:left="47" w:right="6907" w:hanging="14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4"/>
          <w:sz w:val="24"/>
          <w:szCs w:val="24"/>
        </w:rPr>
        <w:t>绩效指标评估</w:t>
      </w:r>
      <w:r>
        <w:rPr>
          <w:rFonts w:hint="eastAsia" w:ascii="微软雅黑" w:hAnsi="微软雅黑" w:eastAsia="微软雅黑" w:cs="微软雅黑"/>
          <w:spacing w:val="-6"/>
          <w:sz w:val="24"/>
          <w:szCs w:val="24"/>
        </w:rPr>
        <w:t>员工能力评估</w:t>
      </w:r>
    </w:p>
    <w:p w14:paraId="45CCD17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00" w:lineRule="exact"/>
        <w:ind w:left="29" w:right="5947" w:firstLine="3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绩效评估的三商三议</w:t>
      </w:r>
      <w:r>
        <w:rPr>
          <w:rFonts w:hint="eastAsia" w:ascii="微软雅黑" w:hAnsi="微软雅黑" w:eastAsia="微软雅黑" w:cs="微软雅黑"/>
          <w:spacing w:val="2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绩效评估的指标佐证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绩效指标评估差错修订绩效评估委员会作用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人才盘点的实施与应用</w:t>
      </w:r>
    </w:p>
    <w:p w14:paraId="2D2EBE7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500" w:lineRule="exact"/>
        <w:ind w:left="34"/>
        <w:textAlignment w:val="baseline"/>
        <w:outlineLvl w:val="1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spacing w:val="-4"/>
          <w:sz w:val="24"/>
          <w:szCs w:val="24"/>
        </w:rPr>
        <w:t>五、激活组织持续改进</w:t>
      </w:r>
    </w:p>
    <w:p w14:paraId="16D241D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9" w:line="500" w:lineRule="exact"/>
        <w:ind w:left="33" w:right="570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绩效结果过的一般应用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绩效结果应用与工资发放绩效结果应用与岗位调整</w:t>
      </w:r>
    </w:p>
    <w:p w14:paraId="455445E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00" w:lineRule="exact"/>
        <w:ind w:left="33" w:right="570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绩效结果应用与薪酬调整绩效结果应用与培训发展</w:t>
      </w:r>
    </w:p>
    <w:p w14:paraId="68AA99B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" w:line="500" w:lineRule="exact"/>
        <w:ind w:left="34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关注薪酬之上的激励因素</w:t>
      </w:r>
    </w:p>
    <w:p w14:paraId="5645E82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</w:p>
    <w:p w14:paraId="1DDECA2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500" w:lineRule="exact"/>
        <w:ind w:left="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pacing w:val="5"/>
          <w:sz w:val="24"/>
          <w:szCs w:val="24"/>
        </w:rPr>
        <w:t>【老师介绍】</w:t>
      </w:r>
    </w:p>
    <w:p w14:paraId="48BDE58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1" w:line="500" w:lineRule="exact"/>
        <w:ind w:firstLine="59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position w:val="-66"/>
          <w:sz w:val="24"/>
          <w:szCs w:val="24"/>
        </w:rPr>
        <w:drawing>
          <wp:inline distT="0" distB="0" distL="0" distR="0">
            <wp:extent cx="5271135" cy="209994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515" cy="2100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EC14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  <w:sectPr>
          <w:pgSz w:w="11906" w:h="16839"/>
          <w:pgMar w:top="1431" w:right="1758" w:bottom="0" w:left="1785" w:header="0" w:footer="0" w:gutter="0"/>
          <w:cols w:space="720" w:num="1"/>
        </w:sectPr>
      </w:pPr>
    </w:p>
    <w:p w14:paraId="51EE189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5" w:line="500" w:lineRule="exact"/>
        <w:ind w:left="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pacing w:val="5"/>
          <w:sz w:val="24"/>
          <w:szCs w:val="24"/>
        </w:rPr>
        <w:t>【服务领域】</w:t>
      </w:r>
    </w:p>
    <w:p w14:paraId="11E34D5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5" w:line="500" w:lineRule="exact"/>
        <w:ind w:left="29" w:right="92" w:firstLine="476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19</w:t>
      </w:r>
      <w:r>
        <w:rPr>
          <w:rFonts w:hint="eastAsia" w:ascii="微软雅黑" w:hAnsi="微软雅黑" w:eastAsia="微软雅黑" w:cs="微软雅黑"/>
          <w:spacing w:val="-30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年大型企业</w:t>
      </w:r>
      <w:r>
        <w:rPr>
          <w:rFonts w:hint="eastAsia" w:ascii="微软雅黑" w:hAnsi="微软雅黑" w:eastAsia="微软雅黑" w:cs="微软雅黑"/>
          <w:spacing w:val="-46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HR、高管从业、顾问经验。其中12</w:t>
      </w:r>
      <w:r>
        <w:rPr>
          <w:rFonts w:hint="eastAsia" w:ascii="微软雅黑" w:hAnsi="微软雅黑" w:eastAsia="微软雅黑" w:cs="微软雅黑"/>
          <w:spacing w:val="-45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3"/>
          <w:sz w:val="24"/>
          <w:szCs w:val="24"/>
        </w:rPr>
        <w:t>年甲方从业经验，分别担</w:t>
      </w:r>
      <w:r>
        <w:rPr>
          <w:rFonts w:hint="eastAsia" w:ascii="微软雅黑" w:hAnsi="微软雅黑" w:eastAsia="微软雅黑" w:cs="微软雅黑"/>
          <w:spacing w:val="-1"/>
          <w:sz w:val="24"/>
          <w:szCs w:val="24"/>
        </w:rPr>
        <w:t>任秘书、主管、部长、总监、总裁等职务；</w:t>
      </w:r>
    </w:p>
    <w:p w14:paraId="1E7751B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00" w:lineRule="exact"/>
        <w:ind w:left="42" w:firstLine="460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6"/>
          <w:sz w:val="24"/>
          <w:szCs w:val="24"/>
        </w:rPr>
        <w:t>7</w:t>
      </w:r>
      <w:r>
        <w:rPr>
          <w:rFonts w:hint="eastAsia" w:ascii="微软雅黑" w:hAnsi="微软雅黑" w:eastAsia="微软雅黑" w:cs="微软雅黑"/>
          <w:spacing w:val="-47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6"/>
          <w:sz w:val="24"/>
          <w:szCs w:val="24"/>
        </w:rPr>
        <w:t>年咨询顾问从业经验，曾在能源、化工、房地产、餐饮快消、建筑、工程、</w:t>
      </w:r>
      <w:r>
        <w:rPr>
          <w:rFonts w:hint="eastAsia" w:ascii="微软雅黑" w:hAnsi="微软雅黑" w:eastAsia="微软雅黑" w:cs="微软雅黑"/>
          <w:spacing w:val="-2"/>
          <w:sz w:val="24"/>
          <w:szCs w:val="24"/>
        </w:rPr>
        <w:t>生产制造、旅游多领域，担任多家企业管理咨询顾问；</w:t>
      </w:r>
    </w:p>
    <w:p w14:paraId="2069DE7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33" w:firstLine="484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8"/>
          <w:sz w:val="24"/>
          <w:szCs w:val="24"/>
        </w:rPr>
        <w:t>主要从事业战略咨询、组织体系设计、卓越招聘、人才盘点、薪酬体系设计、</w:t>
      </w:r>
      <w:r>
        <w:rPr>
          <w:rFonts w:hint="eastAsia" w:ascii="微软雅黑" w:hAnsi="微软雅黑" w:eastAsia="微软雅黑" w:cs="微软雅黑"/>
          <w:spacing w:val="-1"/>
          <w:sz w:val="24"/>
          <w:szCs w:val="24"/>
        </w:rPr>
        <w:t>绩效管理、任职资格设计、股权激励体系设计、企业文化落地等领域咨询服务；</w:t>
      </w:r>
    </w:p>
    <w:p w14:paraId="1D82E43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500" w:lineRule="exact"/>
        <w:ind w:left="34" w:right="92" w:firstLine="483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pacing w:val="-11"/>
          <w:sz w:val="24"/>
          <w:szCs w:val="24"/>
        </w:rPr>
        <w:t>主讲课程《卓越招聘》《高人效企业跑赢大势的适应性薪酬体系》《绩效经营</w:t>
      </w:r>
      <w:r>
        <w:rPr>
          <w:rFonts w:hint="eastAsia" w:ascii="微软雅黑" w:hAnsi="微软雅黑" w:eastAsia="微软雅黑" w:cs="微软雅黑"/>
          <w:spacing w:val="-14"/>
          <w:sz w:val="24"/>
          <w:szCs w:val="24"/>
        </w:rPr>
        <w:t>激活业绩增长》《业绩增长 I-SPTL</w:t>
      </w:r>
      <w:r>
        <w:rPr>
          <w:rFonts w:hint="eastAsia" w:ascii="微软雅黑" w:hAnsi="微软雅黑" w:eastAsia="微软雅黑" w:cs="微软雅黑"/>
          <w:spacing w:val="-39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spacing w:val="-14"/>
          <w:sz w:val="24"/>
          <w:szCs w:val="24"/>
        </w:rPr>
        <w:t>模式》。</w:t>
      </w:r>
    </w:p>
    <w:p w14:paraId="1784FF4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500" w:lineRule="exact"/>
        <w:ind w:left="505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代表作《增长引擎》</w:t>
      </w:r>
    </w:p>
    <w:p w14:paraId="6247A36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</w:p>
    <w:p w14:paraId="2B0100F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500" w:lineRule="exact"/>
        <w:ind w:left="7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FF"/>
          <w:spacing w:val="-4"/>
          <w:sz w:val="24"/>
          <w:szCs w:val="24"/>
        </w:rPr>
        <w:t>【</w:t>
      </w:r>
      <w:r>
        <w:rPr>
          <w:rFonts w:hint="eastAsia" w:ascii="微软雅黑" w:hAnsi="微软雅黑" w:eastAsia="微软雅黑" w:cs="微软雅黑"/>
          <w:color w:val="0000FF"/>
          <w:spacing w:val="-63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0000FF"/>
          <w:spacing w:val="-4"/>
          <w:sz w:val="24"/>
          <w:szCs w:val="24"/>
        </w:rPr>
        <w:t>工作现场】</w:t>
      </w:r>
    </w:p>
    <w:p w14:paraId="3F2FF4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0" w:line="500" w:lineRule="exact"/>
        <w:ind w:firstLine="196"/>
        <w:textAlignment w:val="baseline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position w:val="-131"/>
          <w:sz w:val="24"/>
          <w:szCs w:val="24"/>
        </w:rPr>
        <w:drawing>
          <wp:inline distT="0" distB="0" distL="0" distR="0">
            <wp:extent cx="4940300" cy="417512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40808" cy="4175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5" w:type="default"/>
      <w:pgSz w:w="11906" w:h="16839"/>
      <w:pgMar w:top="1431" w:right="1707" w:bottom="2809" w:left="1785" w:header="0" w:footer="249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80431A">
    <w:pPr>
      <w:pStyle w:val="2"/>
      <w:spacing w:line="231" w:lineRule="auto"/>
      <w:ind w:left="6436"/>
    </w:pPr>
    <w:r>
      <w:rPr>
        <w:spacing w:val="-7"/>
      </w:rPr>
      <w:t>2025</w:t>
    </w:r>
    <w:r>
      <w:rPr>
        <w:spacing w:val="-48"/>
      </w:rPr>
      <w:t xml:space="preserve"> </w:t>
    </w:r>
    <w:r>
      <w:rPr>
        <w:spacing w:val="-7"/>
      </w:rPr>
      <w:t>年</w:t>
    </w:r>
    <w:r>
      <w:rPr>
        <w:spacing w:val="-48"/>
      </w:rPr>
      <w:t xml:space="preserve"> </w:t>
    </w:r>
    <w:r>
      <w:rPr>
        <w:spacing w:val="-7"/>
      </w:rPr>
      <w:t>11</w:t>
    </w:r>
    <w:r>
      <w:rPr>
        <w:spacing w:val="-36"/>
      </w:rPr>
      <w:t xml:space="preserve"> </w:t>
    </w:r>
    <w:r>
      <w:rPr>
        <w:spacing w:val="-7"/>
      </w:rPr>
      <w:t>月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DB71198"/>
    <w:rsid w:val="748C18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1379</Words>
  <Characters>1400</Characters>
  <TotalTime>1</TotalTime>
  <ScaleCrop>false</ScaleCrop>
  <LinksUpToDate>false</LinksUpToDate>
  <CharactersWithSpaces>1431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2025-11-06T11:17:00Z</dcterms:created>
  <dc:creator>adsfg</dc:creator>
  <cp:lastModifiedBy>百家：聂小倩</cp:lastModifiedBy>
  <dcterms:modified xsi:type="dcterms:W3CDTF">2025-11-28T02:38:34Z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2025-11-28T10:33:52Z</vt:filetime>
  </property>
  <property fmtid="{D5CDD505-2E9C-101B-9397-08002B2CF9AE}" pid="4" name="KSOProductBuildVer">
    <vt:lpwstr>2052-12.1.0.23542</vt:lpwstr>
  </property>
  <property fmtid="{D5CDD505-2E9C-101B-9397-08002B2CF9AE}" pid="5" name="ICV">
    <vt:lpwstr>631586A9DF7B467C9849299A47D84E22_13</vt:lpwstr>
  </property>
  <property fmtid="{D5CDD505-2E9C-101B-9397-08002B2CF9AE}" pid="6" name="KSOTemplateDocerSaveRecord">
    <vt:lpwstr>eyJoZGlkIjoiZDNiY2RlNTBiY2YxYjZhNzc5ZDljZTBiMGEyZjRkNzIiLCJ1c2VySWQiOiIxNTUxNjk0OTA3In0=</vt:lpwstr>
  </property>
</Properties>
</file>