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6DB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0" w:line="500" w:lineRule="exact"/>
        <w:jc w:val="center"/>
        <w:textAlignment w:val="baseline"/>
        <w:outlineLvl w:val="0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pacing w:val="4"/>
          <w:position w:val="1"/>
          <w:sz w:val="32"/>
          <w:szCs w:val="32"/>
        </w:rPr>
        <w:t>绩效成功的六个关键</w:t>
      </w:r>
    </w:p>
    <w:p w14:paraId="0413F1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【课程背景】</w:t>
      </w:r>
      <w:r>
        <w:rPr>
          <w:rFonts w:hint="eastAsia" w:ascii="微软雅黑" w:hAnsi="微软雅黑" w:eastAsia="微软雅黑" w:cs="微软雅黑"/>
          <w:b/>
          <w:bCs/>
          <w:spacing w:val="-17"/>
          <w:sz w:val="24"/>
          <w:szCs w:val="24"/>
        </w:rPr>
        <w:t>：</w:t>
      </w:r>
    </w:p>
    <w:p w14:paraId="4860225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26" w:firstLine="572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"/>
          <w:sz w:val="24"/>
          <w:szCs w:val="24"/>
        </w:rPr>
        <w:t>经调研，大量企业都曾实施过绩效管理或正在实施绩效管理。经相关研究</w:t>
      </w:r>
      <w:r>
        <w:rPr>
          <w:rFonts w:hint="eastAsia" w:ascii="微软雅黑" w:hAnsi="微软雅黑" w:eastAsia="微软雅黑" w:cs="微软雅黑"/>
          <w:sz w:val="24"/>
          <w:szCs w:val="24"/>
        </w:rPr>
        <w:t>机构抽样调查，绩效管理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取得成功的企业比例不足50%。甚至有的企业因错误的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绩效管理给组织带来了不可恢复的伤害，绩效管理变成了管理者眼中的</w:t>
      </w: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>“鸡肋”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又爱又恨。为什么？经过长期的实践跟踪，通过对几百家企业实施绩效管理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咨询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服务的总结归纳，我们发现绩效的成功与六个方面有关。</w:t>
      </w:r>
    </w:p>
    <w:p w14:paraId="30C928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【课程时间】：</w:t>
      </w:r>
    </w:p>
    <w:p w14:paraId="01672E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9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1"/>
          <w:sz w:val="24"/>
          <w:szCs w:val="24"/>
        </w:rPr>
        <w:t>半天，3</w:t>
      </w:r>
      <w:r>
        <w:rPr>
          <w:rFonts w:hint="eastAsia" w:ascii="微软雅黑" w:hAnsi="微软雅黑" w:eastAsia="微软雅黑" w:cs="微软雅黑"/>
          <w:spacing w:val="-39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1"/>
          <w:sz w:val="24"/>
          <w:szCs w:val="24"/>
        </w:rPr>
        <w:t>小时/天</w:t>
      </w:r>
    </w:p>
    <w:p w14:paraId="5684A7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【课程对象】：</w:t>
      </w:r>
    </w:p>
    <w:p w14:paraId="3CC6F5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59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企业主管、直线经理、HR</w:t>
      </w:r>
      <w:r>
        <w:rPr>
          <w:rFonts w:hint="eastAsia" w:ascii="微软雅黑" w:hAnsi="微软雅黑" w:eastAsia="微软雅黑" w:cs="微软雅黑"/>
          <w:spacing w:val="-2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人员、总经理等管理人员</w:t>
      </w:r>
    </w:p>
    <w:p w14:paraId="32EEB0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【课程目录】：</w:t>
      </w:r>
    </w:p>
    <w:p w14:paraId="1D8128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3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4"/>
          <w:sz w:val="24"/>
          <w:szCs w:val="24"/>
        </w:rPr>
        <w:t>第一个关键：过程管理不可缺失</w:t>
      </w:r>
    </w:p>
    <w:p w14:paraId="38558B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3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绩效管理≠绩效考核</w:t>
      </w:r>
    </w:p>
    <w:p w14:paraId="150BAE9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28" w:right="5635" w:firstLine="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华为和海尔的绩效管理逻辑抓住关键环节打透关键动作跟踪、辅导、赋能、反馈</w:t>
      </w: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绩效过程启用计划管理工具</w:t>
      </w:r>
    </w:p>
    <w:p w14:paraId="3D3E1E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4"/>
          <w:sz w:val="24"/>
          <w:szCs w:val="24"/>
        </w:rPr>
        <w:t>第二个关键：主体不能错位</w:t>
      </w:r>
    </w:p>
    <w:p w14:paraId="4D79BB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9" w:right="587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人力资源不是绩效的主体直线经理才是绩效的主体</w:t>
      </w:r>
    </w:p>
    <w:p w14:paraId="240920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3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直线经理要具备三大能力</w:t>
      </w:r>
    </w:p>
    <w:p w14:paraId="0D6BB0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2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HR</w:t>
      </w:r>
      <w:r>
        <w:rPr>
          <w:rFonts w:hint="eastAsia"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在绩效管理中应发挥三大角色</w:t>
      </w:r>
    </w:p>
    <w:p w14:paraId="40516A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3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8"/>
          <w:sz w:val="24"/>
          <w:szCs w:val="24"/>
        </w:rPr>
        <w:t>第三个关键：</w:t>
      </w:r>
      <w:r>
        <w:rPr>
          <w:rFonts w:hint="eastAsia" w:ascii="微软雅黑" w:hAnsi="微软雅黑" w:eastAsia="微软雅黑" w:cs="微软雅黑"/>
          <w:color w:val="FF0000"/>
          <w:spacing w:val="-6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-8"/>
          <w:sz w:val="24"/>
          <w:szCs w:val="24"/>
        </w:rPr>
        <w:t>目标要达成共识</w:t>
      </w:r>
    </w:p>
    <w:p w14:paraId="4A30EE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8" w:right="563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择高而立是增长的底层逻辑目标要本身就无法合理化</w:t>
      </w: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合理性</w:t>
      </w:r>
      <w:r>
        <w:rPr>
          <w:rFonts w:hint="eastAsia" w:ascii="微软雅黑" w:hAnsi="微软雅黑" w:eastAsia="微软雅黑" w:cs="微软雅黑"/>
          <w:spacing w:val="-5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VS</w:t>
      </w:r>
      <w:r>
        <w:rPr>
          <w:rFonts w:hint="eastAsia" w:ascii="微软雅黑" w:hAnsi="微软雅黑" w:eastAsia="微软雅黑" w:cs="微软雅黑"/>
          <w:spacing w:val="-4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共识度</w:t>
      </w:r>
    </w:p>
    <w:p w14:paraId="108BB8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00" w:lineRule="exact"/>
        <w:ind w:left="7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目标应该追求共识度</w:t>
      </w:r>
    </w:p>
    <w:p w14:paraId="28D93D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19" w:right="5155" w:firstLine="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达不成共识的本质不在目标本身“共识度信息反馈”模型</w:t>
      </w:r>
    </w:p>
    <w:p w14:paraId="52A1722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3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4"/>
          <w:sz w:val="24"/>
          <w:szCs w:val="24"/>
        </w:rPr>
        <w:t>第四个关键：分工协同要到位</w:t>
      </w:r>
    </w:p>
    <w:p w14:paraId="257EC5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3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为什么是一盘散沙</w:t>
      </w:r>
    </w:p>
    <w:p w14:paraId="07B246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390" w:right="1590" w:bottom="0" w:left="1785" w:header="0" w:footer="0" w:gutter="0"/>
          <w:cols w:space="720" w:num="1"/>
        </w:sectPr>
      </w:pPr>
    </w:p>
    <w:p w14:paraId="6D9605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500" w:lineRule="exact"/>
        <w:ind w:left="59" w:right="6478" w:hanging="2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高层的协同关键点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中层的协同关键点</w:t>
      </w:r>
    </w:p>
    <w:p w14:paraId="5738D7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关注点、线、面、体效率</w:t>
      </w:r>
    </w:p>
    <w:p w14:paraId="6018A5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3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8"/>
          <w:sz w:val="24"/>
          <w:szCs w:val="24"/>
        </w:rPr>
        <w:t>第五个关键：</w:t>
      </w:r>
      <w:r>
        <w:rPr>
          <w:rFonts w:hint="eastAsia" w:ascii="微软雅黑" w:hAnsi="微软雅黑" w:eastAsia="微软雅黑" w:cs="微软雅黑"/>
          <w:color w:val="FF0000"/>
          <w:spacing w:val="-6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pacing w:val="-8"/>
          <w:sz w:val="24"/>
          <w:szCs w:val="24"/>
        </w:rPr>
        <w:t>目标分解要系统</w:t>
      </w:r>
    </w:p>
    <w:p w14:paraId="41FF65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7" w:right="575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平衡计分卡分解战略目标平衡计分卡的四个关键</w:t>
      </w:r>
      <w:r>
        <w:rPr>
          <w:rFonts w:hint="eastAsia" w:ascii="微软雅黑" w:hAnsi="微软雅黑" w:eastAsia="微软雅黑" w:cs="微软雅黑"/>
          <w:spacing w:val="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平衡计分卡经典案例介绍解构公司级指标分解矩阵</w:t>
      </w:r>
    </w:p>
    <w:p w14:paraId="638EEA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00" w:lineRule="exact"/>
        <w:ind w:left="3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4"/>
          <w:sz w:val="24"/>
          <w:szCs w:val="24"/>
        </w:rPr>
        <w:t>第六个关键：执行要到位</w:t>
      </w:r>
    </w:p>
    <w:p w14:paraId="22A38C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27" w:right="599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在过程中找到增长策略行动计划的灵活调整</w:t>
      </w:r>
    </w:p>
    <w:p w14:paraId="345DF8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3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高层全局规划形成增长策略</w:t>
      </w:r>
    </w:p>
    <w:p w14:paraId="33371A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中层围绕重点产出细化行动</w:t>
      </w:r>
    </w:p>
    <w:p w14:paraId="4BBFBF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2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基层明确关键打法一招制敌</w:t>
      </w:r>
    </w:p>
    <w:p w14:paraId="7A019B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41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6"/>
          <w:sz w:val="24"/>
          <w:szCs w:val="24"/>
        </w:rPr>
        <w:t>一把手的关键作用“九字方针”</w:t>
      </w:r>
    </w:p>
    <w:p w14:paraId="13C699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307637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【老师介绍】</w:t>
      </w:r>
    </w:p>
    <w:p w14:paraId="587699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500" w:lineRule="exact"/>
        <w:ind w:firstLine="5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66"/>
          <w:sz w:val="24"/>
          <w:szCs w:val="24"/>
        </w:rPr>
        <w:drawing>
          <wp:inline distT="0" distB="0" distL="0" distR="0">
            <wp:extent cx="5271135" cy="209994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515" cy="210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962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【服务领域】</w:t>
      </w:r>
    </w:p>
    <w:p w14:paraId="0210CB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8" w:line="500" w:lineRule="exact"/>
        <w:ind w:left="29" w:right="92" w:firstLine="47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19</w:t>
      </w:r>
      <w:r>
        <w:rPr>
          <w:rFonts w:hint="eastAsia" w:ascii="微软雅黑" w:hAnsi="微软雅黑" w:eastAsia="微软雅黑" w:cs="微软雅黑"/>
          <w:spacing w:val="-3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年大型企业</w:t>
      </w:r>
      <w:r>
        <w:rPr>
          <w:rFonts w:hint="eastAsia" w:ascii="微软雅黑" w:hAnsi="微软雅黑" w:eastAsia="微软雅黑" w:cs="微软雅黑"/>
          <w:spacing w:val="-4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HR、高管从业、顾问经验。其中12</w:t>
      </w:r>
      <w:r>
        <w:rPr>
          <w:rFonts w:hint="eastAsia" w:ascii="微软雅黑" w:hAnsi="微软雅黑" w:eastAsia="微软雅黑" w:cs="微软雅黑"/>
          <w:spacing w:val="-4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年甲方从业经验，分别担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任秘书、主管、部长、总监、总裁等职务；</w:t>
      </w:r>
    </w:p>
    <w:p w14:paraId="222ABF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2" w:firstLine="46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7</w:t>
      </w:r>
      <w:r>
        <w:rPr>
          <w:rFonts w:hint="eastAsia" w:ascii="微软雅黑" w:hAnsi="微软雅黑" w:eastAsia="微软雅黑" w:cs="微软雅黑"/>
          <w:spacing w:val="-4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年咨询顾问从业经验，曾在能源、化工、房地产、餐饮快消、建筑、工程、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生产制造、旅游多领域，担任多家企业管理咨询顾问；</w:t>
      </w:r>
    </w:p>
    <w:p w14:paraId="1FE643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33" w:firstLine="48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8"/>
          <w:sz w:val="24"/>
          <w:szCs w:val="24"/>
        </w:rPr>
        <w:t>主要从事业战略咨询、组织体系设计、卓越招聘、人才盘点、薪酬体系设计、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绩效管理、任职资格设计、股权激励体系设计、企业文化落地等领域咨询服务；</w:t>
      </w:r>
    </w:p>
    <w:p w14:paraId="699F1B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707" w:bottom="0" w:left="1785" w:header="0" w:footer="0" w:gutter="0"/>
          <w:cols w:space="720" w:num="1"/>
        </w:sectPr>
      </w:pPr>
    </w:p>
    <w:p w14:paraId="25B3E3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500" w:lineRule="exact"/>
        <w:ind w:left="34" w:right="13" w:firstLine="48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1"/>
          <w:sz w:val="24"/>
          <w:szCs w:val="24"/>
        </w:rPr>
        <w:t>主讲课程《卓越招聘》《高人效企业跑赢大势的适应性薪酬体系》《绩效经营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激活业绩增长》《业绩增长 I-SPTL</w:t>
      </w:r>
      <w:r>
        <w:rPr>
          <w:rFonts w:hint="eastAsia" w:ascii="微软雅黑" w:hAnsi="微软雅黑" w:eastAsia="微软雅黑" w:cs="微软雅黑"/>
          <w:spacing w:val="-39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模式》。</w:t>
      </w:r>
    </w:p>
    <w:p w14:paraId="222828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50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代表作《增长引擎》</w:t>
      </w:r>
    </w:p>
    <w:p w14:paraId="42EDB0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1B9364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4"/>
          <w:sz w:val="24"/>
          <w:szCs w:val="24"/>
        </w:rPr>
        <w:t>【</w:t>
      </w:r>
      <w:r>
        <w:rPr>
          <w:rFonts w:hint="eastAsia" w:ascii="微软雅黑" w:hAnsi="微软雅黑" w:eastAsia="微软雅黑" w:cs="微软雅黑"/>
          <w:color w:val="0000FF"/>
          <w:spacing w:val="-6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FF"/>
          <w:spacing w:val="-4"/>
          <w:sz w:val="24"/>
          <w:szCs w:val="24"/>
        </w:rPr>
        <w:t>工作现场】</w:t>
      </w:r>
    </w:p>
    <w:p w14:paraId="2AF183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3E5BBE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19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131"/>
          <w:sz w:val="24"/>
          <w:szCs w:val="24"/>
        </w:rPr>
        <w:drawing>
          <wp:inline distT="0" distB="0" distL="0" distR="0">
            <wp:extent cx="4940300" cy="41738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0808" cy="417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98C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5E5643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4AB18F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643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2025</w:t>
      </w:r>
      <w:r>
        <w:rPr>
          <w:rFonts w:hint="eastAsia" w:ascii="微软雅黑" w:hAnsi="微软雅黑" w:eastAsia="微软雅黑" w:cs="微软雅黑"/>
          <w:spacing w:val="-4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spacing w:val="-4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11</w:t>
      </w:r>
      <w:r>
        <w:rPr>
          <w:rFonts w:hint="eastAsia" w:ascii="微软雅黑" w:hAnsi="微软雅黑" w:eastAsia="微软雅黑" w:cs="微软雅黑"/>
          <w:spacing w:val="-3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月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A293080"/>
    <w:rsid w:val="63CE47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878</Words>
  <Characters>895</Characters>
  <TotalTime>1</TotalTime>
  <ScaleCrop>false</ScaleCrop>
  <LinksUpToDate>false</LinksUpToDate>
  <CharactersWithSpaces>915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2025-11-06T11:17:00Z</dcterms:created>
  <dc:creator>adsfg</dc:creator>
  <cp:lastModifiedBy>百家：聂小倩</cp:lastModifiedBy>
  <dcterms:modified xsi:type="dcterms:W3CDTF">2025-11-28T02:36:58Z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2025-11-28T10:32:40Z</vt:filetime>
  </property>
  <property fmtid="{D5CDD505-2E9C-101B-9397-08002B2CF9AE}" pid="4" name="KSOProductBuildVer">
    <vt:lpwstr>2052-12.1.0.23542</vt:lpwstr>
  </property>
  <property fmtid="{D5CDD505-2E9C-101B-9397-08002B2CF9AE}" pid="5" name="ICV">
    <vt:lpwstr>BB670E2A14334FB7991B0AE0D048941C_13</vt:lpwstr>
  </property>
  <property fmtid="{D5CDD505-2E9C-101B-9397-08002B2CF9AE}" pid="6" name="KSOTemplateDocerSaveRecord">
    <vt:lpwstr>eyJoZGlkIjoiZDNiY2RlNTBiY2YxYjZhNzc5ZDljZTBiMGEyZjRkNzIiLCJ1c2VySWQiOiIxNTUxNjk0OTA3In0=</vt:lpwstr>
  </property>
</Properties>
</file>