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631AA">
      <w:pPr>
        <w:spacing w:line="434" w:lineRule="auto"/>
        <w:rPr>
          <w:rFonts w:ascii="Arial"/>
          <w:sz w:val="21"/>
        </w:rPr>
      </w:pPr>
      <w:r>
        <w:rPr>
          <w:rFonts w:hint="eastAsia" w:ascii="微软雅黑" w:hAnsi="微软雅黑" w:eastAsia="微软雅黑" w:cs="微软雅黑"/>
          <w:b/>
          <w:bCs/>
          <w:snapToGrid/>
          <w:kern w:val="2"/>
          <w:sz w:val="36"/>
          <w:szCs w:val="36"/>
          <w:lang w:val="en-US" w:eastAsia="zh-CN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3242945</wp:posOffset>
            </wp:positionH>
            <wp:positionV relativeFrom="paragraph">
              <wp:posOffset>624840</wp:posOffset>
            </wp:positionV>
            <wp:extent cx="2197735" cy="3030855"/>
            <wp:effectExtent l="0" t="0" r="12065" b="17145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7735" cy="3030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napToGrid/>
          <w:kern w:val="2"/>
          <w:sz w:val="36"/>
          <w:szCs w:val="36"/>
          <w:lang w:val="en-US" w:eastAsia="zh-CN" w:bidi="ar-SA"/>
        </w:rPr>
        <w:t>赵来宾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老师：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人力资源绩效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辅导教练</w:t>
      </w:r>
    </w:p>
    <w:p w14:paraId="7CDEFC0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80" w:lineRule="exact"/>
        <w:ind w:left="34"/>
        <w:textAlignment w:val="baseline"/>
        <w:rPr>
          <w:rFonts w:hint="eastAsia"/>
          <w:b/>
          <w:bCs/>
          <w:spacing w:val="-2"/>
          <w:sz w:val="32"/>
          <w:szCs w:val="32"/>
          <w:lang w:val="en-US" w:eastAsia="zh-CN"/>
        </w:rPr>
      </w:pPr>
      <w:r>
        <w:rPr>
          <w:b/>
          <w:bCs/>
          <w:position w:val="-3"/>
          <w:sz w:val="32"/>
          <w:szCs w:val="32"/>
        </w:rPr>
        <w:drawing>
          <wp:inline distT="0" distB="0" distL="0" distR="0">
            <wp:extent cx="107950" cy="16827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203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10"/>
          <w:sz w:val="32"/>
          <w:szCs w:val="32"/>
        </w:rPr>
        <w:t xml:space="preserve"> </w:t>
      </w:r>
      <w:r>
        <w:rPr>
          <w:rFonts w:hint="eastAsia"/>
          <w:b/>
          <w:bCs/>
          <w:spacing w:val="10"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pacing w:val="-2"/>
          <w:sz w:val="32"/>
          <w:szCs w:val="32"/>
          <w:lang w:val="en-US" w:eastAsia="zh-CN"/>
        </w:rPr>
        <w:t>高级绩效管理培训师</w:t>
      </w:r>
    </w:p>
    <w:p w14:paraId="4CC4CBF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80" w:lineRule="exact"/>
        <w:ind w:left="34"/>
        <w:textAlignment w:val="baseline"/>
        <w:rPr>
          <w:b/>
          <w:bCs/>
          <w:sz w:val="32"/>
          <w:szCs w:val="32"/>
        </w:rPr>
      </w:pPr>
      <w:r>
        <w:rPr>
          <w:b/>
          <w:bCs/>
          <w:position w:val="-4"/>
          <w:sz w:val="32"/>
          <w:szCs w:val="32"/>
        </w:rPr>
        <w:drawing>
          <wp:inline distT="0" distB="0" distL="0" distR="0">
            <wp:extent cx="107950" cy="168275"/>
            <wp:effectExtent l="0" t="0" r="6350" b="2540"/>
            <wp:docPr id="1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203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12"/>
          <w:sz w:val="32"/>
          <w:szCs w:val="32"/>
        </w:rPr>
        <w:t xml:space="preserve"> </w:t>
      </w:r>
      <w:r>
        <w:rPr>
          <w:rFonts w:hint="eastAsia"/>
          <w:b/>
          <w:bCs/>
          <w:spacing w:val="12"/>
          <w:sz w:val="32"/>
          <w:szCs w:val="32"/>
          <w:lang w:val="en-US" w:eastAsia="zh-CN"/>
        </w:rPr>
        <w:t xml:space="preserve"> </w:t>
      </w:r>
      <w:r>
        <w:rPr>
          <w:b/>
          <w:bCs/>
          <w:spacing w:val="-2"/>
          <w:sz w:val="32"/>
          <w:szCs w:val="32"/>
        </w:rPr>
        <w:t>国家注册人力资源管理师</w:t>
      </w:r>
    </w:p>
    <w:p w14:paraId="34F82C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3" w:line="580" w:lineRule="exact"/>
        <w:ind w:left="34"/>
        <w:textAlignment w:val="baseline"/>
        <w:rPr>
          <w:b/>
          <w:bCs/>
          <w:sz w:val="32"/>
          <w:szCs w:val="32"/>
        </w:rPr>
      </w:pPr>
      <w:r>
        <w:rPr>
          <w:b/>
          <w:bCs/>
          <w:position w:val="-4"/>
          <w:sz w:val="32"/>
          <w:szCs w:val="32"/>
        </w:rPr>
        <w:drawing>
          <wp:inline distT="0" distB="0" distL="0" distR="0">
            <wp:extent cx="107950" cy="16827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203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11"/>
          <w:sz w:val="32"/>
          <w:szCs w:val="32"/>
        </w:rPr>
        <w:t xml:space="preserve">   </w:t>
      </w:r>
      <w:r>
        <w:rPr>
          <w:b/>
          <w:bCs/>
          <w:spacing w:val="-3"/>
          <w:sz w:val="32"/>
          <w:szCs w:val="32"/>
        </w:rPr>
        <w:t>曾任上市公司 CHO 及总裁</w:t>
      </w:r>
    </w:p>
    <w:p w14:paraId="2D67E32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ind w:left="34"/>
        <w:textAlignment w:val="baseline"/>
        <w:rPr>
          <w:b/>
          <w:bCs/>
          <w:sz w:val="32"/>
          <w:szCs w:val="32"/>
        </w:rPr>
      </w:pPr>
      <w:r>
        <w:rPr>
          <w:b/>
          <w:bCs/>
          <w:position w:val="-3"/>
          <w:sz w:val="32"/>
          <w:szCs w:val="32"/>
        </w:rPr>
        <w:drawing>
          <wp:inline distT="0" distB="0" distL="0" distR="0">
            <wp:extent cx="107950" cy="16827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203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12"/>
          <w:sz w:val="32"/>
          <w:szCs w:val="32"/>
        </w:rPr>
        <w:t xml:space="preserve">   </w:t>
      </w:r>
      <w:r>
        <w:rPr>
          <w:b/>
          <w:bCs/>
          <w:spacing w:val="-2"/>
          <w:sz w:val="32"/>
          <w:szCs w:val="32"/>
        </w:rPr>
        <w:t>曾任德勤中国区项目经理</w:t>
      </w:r>
    </w:p>
    <w:p w14:paraId="5F9AA2E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9" w:line="580" w:lineRule="exact"/>
        <w:ind w:left="34"/>
        <w:textAlignment w:val="baseline"/>
        <w:rPr>
          <w:b/>
          <w:bCs/>
          <w:sz w:val="32"/>
          <w:szCs w:val="32"/>
        </w:rPr>
      </w:pPr>
      <w:r>
        <w:rPr>
          <w:b/>
          <w:bCs/>
          <w:position w:val="-4"/>
          <w:sz w:val="32"/>
          <w:szCs w:val="32"/>
        </w:rPr>
        <w:drawing>
          <wp:inline distT="0" distB="0" distL="0" distR="0">
            <wp:extent cx="107950" cy="16827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203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9"/>
          <w:sz w:val="32"/>
          <w:szCs w:val="32"/>
        </w:rPr>
        <w:t xml:space="preserve">   </w:t>
      </w:r>
      <w:r>
        <w:rPr>
          <w:b/>
          <w:bCs/>
          <w:spacing w:val="-1"/>
          <w:sz w:val="32"/>
          <w:szCs w:val="32"/>
        </w:rPr>
        <w:t>包头市政府创业导师库特聘导师</w:t>
      </w:r>
    </w:p>
    <w:p w14:paraId="7E50083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" w:line="580" w:lineRule="exact"/>
        <w:ind w:left="34"/>
        <w:textAlignment w:val="baseline"/>
        <w:rPr>
          <w:b/>
          <w:bCs/>
          <w:sz w:val="32"/>
          <w:szCs w:val="32"/>
        </w:rPr>
      </w:pPr>
      <w:r>
        <w:rPr>
          <w:b/>
          <w:bCs/>
          <w:position w:val="-4"/>
          <w:sz w:val="32"/>
          <w:szCs w:val="32"/>
        </w:rPr>
        <w:drawing>
          <wp:inline distT="0" distB="0" distL="0" distR="0">
            <wp:extent cx="107950" cy="16827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203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8"/>
          <w:sz w:val="32"/>
          <w:szCs w:val="32"/>
        </w:rPr>
        <w:t xml:space="preserve">   </w:t>
      </w:r>
      <w:r>
        <w:rPr>
          <w:b/>
          <w:bCs/>
          <w:spacing w:val="-1"/>
          <w:sz w:val="32"/>
          <w:szCs w:val="32"/>
        </w:rPr>
        <w:t>《卓越招聘》模式开发者</w:t>
      </w:r>
    </w:p>
    <w:p w14:paraId="0227D68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" w:line="580" w:lineRule="exact"/>
        <w:ind w:left="34"/>
        <w:textAlignment w:val="baseline"/>
        <w:rPr>
          <w:b/>
          <w:bCs/>
          <w:sz w:val="32"/>
          <w:szCs w:val="32"/>
        </w:rPr>
      </w:pPr>
      <w:r>
        <w:rPr>
          <w:b/>
          <w:bCs/>
          <w:position w:val="-4"/>
          <w:sz w:val="32"/>
          <w:szCs w:val="32"/>
        </w:rPr>
        <w:drawing>
          <wp:inline distT="0" distB="0" distL="0" distR="0">
            <wp:extent cx="107950" cy="16827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203" cy="16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pacing w:val="8"/>
          <w:sz w:val="32"/>
          <w:szCs w:val="32"/>
        </w:rPr>
        <w:t xml:space="preserve">   </w:t>
      </w:r>
      <w:r>
        <w:rPr>
          <w:b/>
          <w:bCs/>
          <w:spacing w:val="-1"/>
          <w:sz w:val="32"/>
          <w:szCs w:val="32"/>
        </w:rPr>
        <w:t>代表著作《增长引擎》</w:t>
      </w:r>
    </w:p>
    <w:p w14:paraId="74A68F9F">
      <w:pPr>
        <w:spacing w:line="310" w:lineRule="auto"/>
        <w:rPr>
          <w:rFonts w:ascii="Arial"/>
          <w:sz w:val="21"/>
        </w:rPr>
      </w:pPr>
    </w:p>
    <w:p w14:paraId="4A85D79C">
      <w:pPr>
        <w:rPr>
          <w:rFonts w:hint="eastAsia" w:ascii="微软雅黑" w:hAnsi="微软雅黑" w:eastAsia="微软雅黑" w:cs="微软雅黑"/>
          <w:b/>
          <w:bCs/>
          <w:sz w:val="24"/>
          <w:szCs w:val="21"/>
          <w:lang w:val="en-US" w:eastAsia="zh-CN"/>
        </w:rPr>
      </w:pPr>
    </w:p>
    <w:p w14:paraId="40B88AC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ind w:left="34"/>
        <w:textAlignment w:val="baseline"/>
        <w:rPr>
          <w:rFonts w:hint="eastAsia" w:ascii="微软雅黑" w:hAnsi="微软雅黑" w:eastAsia="微软雅黑" w:cs="微软雅黑"/>
          <w:b/>
          <w:bCs/>
          <w:sz w:val="24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1"/>
          <w:lang w:val="en-US" w:eastAsia="zh-CN"/>
        </w:rPr>
        <w:t>曾任：曾任上市公司 CHO 及总裁</w:t>
      </w:r>
    </w:p>
    <w:p w14:paraId="770B6C1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ind w:left="34"/>
        <w:textAlignment w:val="baseline"/>
        <w:rPr>
          <w:rFonts w:hint="eastAsia" w:ascii="微软雅黑" w:hAnsi="微软雅黑" w:eastAsia="微软雅黑" w:cs="微软雅黑"/>
          <w:b/>
          <w:bCs/>
          <w:sz w:val="24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1"/>
          <w:lang w:val="en-US" w:eastAsia="zh-CN"/>
        </w:rPr>
        <w:t>曾任：德勤中国区项目经理</w:t>
      </w:r>
    </w:p>
    <w:p w14:paraId="001831C8">
      <w:pPr>
        <w:pStyle w:val="2"/>
        <w:spacing w:before="104" w:line="229" w:lineRule="auto"/>
        <w:ind w:left="36"/>
        <w:rPr>
          <w:b/>
          <w:bCs/>
          <w:spacing w:val="-4"/>
        </w:rPr>
      </w:pPr>
    </w:p>
    <w:p w14:paraId="0C22408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ind w:left="34"/>
        <w:textAlignment w:val="baseline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一、讲师研究方向：</w:t>
      </w:r>
    </w:p>
    <w:p w14:paraId="2C583F0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ind w:left="34" w:firstLine="560" w:firstLineChars="200"/>
        <w:textAlignment w:val="baseline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 xml:space="preserve">近几年，赵来宾老师全身心聚焦于企业人力资源管理领域，专注开展培训与咨询辅导工作。在授课过程中，他围绕四大核心板块深入讲解。战略层面，剖析企业长远规划与人力布局的关联；绩效模块，阐述科学评估与激励机制的构建；人才方面，传授精准选才、育才、留才之法；领导力板块，分享卓越领导的特质与管理艺术。凭借专业见解与丰富经验，赵老师助力学员深刻理解人力资源管理精髓，为企业打造高效、适配的人力体系提供有力支持。 </w:t>
      </w:r>
    </w:p>
    <w:p w14:paraId="4BAA23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ind w:firstLine="560" w:firstLineChars="200"/>
        <w:textAlignment w:val="baseline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在培训工作中，赵老师结合前沿理论与丰富案例，深入浅出地为学员讲解</w:t>
      </w:r>
      <w:r>
        <w:rPr>
          <w:rFonts w:hint="eastAsia" w:cs="微软雅黑"/>
          <w:b w:val="0"/>
          <w:bCs w:val="0"/>
          <w:sz w:val="28"/>
          <w:szCs w:val="28"/>
          <w:lang w:val="en-US" w:eastAsia="zh-CN"/>
        </w:rPr>
        <w:t>企业人才选、育、用、留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 xml:space="preserve">等核心内容，助力企业员工提升绩效管理认知与技能。 </w:t>
      </w:r>
    </w:p>
    <w:p w14:paraId="6E9879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ind w:firstLine="560" w:firstLineChars="200"/>
        <w:textAlignment w:val="baseline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赵来宾老师拥有 19 年大型企业 HR、高管从业以及顾问经验。其中 12 年甲方从业经历，他曾先后担任主管、部长、总监、总裁等重要职务，积累了丰富且全面的企业管理实战经验。另外 7 年，他投身于管理咨询顾问领域，足迹遍布能源、化工、房地产、餐饮快消、建筑、工程、生产制造、旅游等多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个行业，为山东、江苏、安徽、河北、内蒙古、广西南宁等多个省市和地区的众多企业担任管理咨询顾问。经他服务的企业中，有一家曾创造连续五年持续增长的佳绩。</w:t>
      </w:r>
    </w:p>
    <w:p w14:paraId="7EB937B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ind w:left="34" w:firstLine="560" w:firstLineChars="200"/>
        <w:textAlignment w:val="baseline"/>
        <w:rPr>
          <w:rFonts w:hint="eastAsia"/>
          <w:sz w:val="32"/>
          <w:szCs w:val="32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 xml:space="preserve">过去 7 年里，赵来宾老师亲自服务的企业超过 150 家，其咨询项目落地率达 100%，项目续签率更是高达 90%，充分彰显了他在企业管理咨询领域的卓越能力和专业价值。 </w:t>
      </w:r>
    </w:p>
    <w:p w14:paraId="223CF864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ind w:left="34"/>
        <w:textAlignment w:val="baseline"/>
        <w:rPr>
          <w:rFonts w:hint="default" w:cs="微软雅黑"/>
          <w:b/>
          <w:bCs/>
          <w:sz w:val="32"/>
          <w:szCs w:val="32"/>
          <w:lang w:val="en-US" w:eastAsia="zh-CN"/>
        </w:rPr>
      </w:pPr>
      <w:r>
        <w:rPr>
          <w:rFonts w:hint="eastAsia" w:cs="微软雅黑"/>
          <w:b/>
          <w:bCs/>
          <w:sz w:val="32"/>
          <w:szCs w:val="32"/>
          <w:lang w:val="en-US" w:eastAsia="zh-CN"/>
        </w:rPr>
        <w:t>授课风格：</w:t>
      </w:r>
    </w:p>
    <w:p w14:paraId="010A31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1、</w:t>
      </w:r>
      <w:r>
        <w:rPr>
          <w:rFonts w:hint="default" w:ascii="微软雅黑" w:hAnsi="微软雅黑" w:eastAsia="微软雅黑" w:cs="微软雅黑"/>
          <w:b/>
          <w:bCs/>
          <w:sz w:val="28"/>
          <w:szCs w:val="28"/>
          <w:lang w:val="en-US" w:eastAsia="zh-CN"/>
        </w:rPr>
        <w:t>理实融合</w:t>
      </w:r>
      <w:r>
        <w:rPr>
          <w:rFonts w:hint="eastAsia" w:cs="微软雅黑"/>
          <w:b/>
          <w:bCs/>
          <w:sz w:val="28"/>
          <w:szCs w:val="28"/>
          <w:lang w:val="en-US" w:eastAsia="zh-CN"/>
        </w:rPr>
        <w:t>：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授课时系统讲解前沿理论，结合 19 年从业经验引入大量真实案例。如讲绩效目标设定，用不同行业案例让学员理解理论应用，便于学以致用。</w:t>
      </w:r>
    </w:p>
    <w:p w14:paraId="7FC33C1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2、</w:t>
      </w:r>
      <w:r>
        <w:rPr>
          <w:rFonts w:hint="default" w:ascii="微软雅黑" w:hAnsi="微软雅黑" w:eastAsia="微软雅黑" w:cs="微软雅黑"/>
          <w:b/>
          <w:bCs/>
          <w:sz w:val="28"/>
          <w:szCs w:val="28"/>
          <w:lang w:val="en-US" w:eastAsia="zh-CN"/>
        </w:rPr>
        <w:t xml:space="preserve"> 互动性佳</w:t>
      </w:r>
      <w:r>
        <w:rPr>
          <w:rFonts w:hint="eastAsia" w:cs="微软雅黑"/>
          <w:b/>
          <w:bCs/>
          <w:sz w:val="28"/>
          <w:szCs w:val="28"/>
          <w:lang w:val="en-US" w:eastAsia="zh-CN"/>
        </w:rPr>
        <w:t>：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采用提问、讨论等多种互动形式，激发学员思考。讲薪酬体系设计时组织小组讨论，及时了解学员需求并调整内容。</w:t>
      </w:r>
    </w:p>
    <w:p w14:paraId="282D472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3、</w:t>
      </w:r>
      <w:r>
        <w:rPr>
          <w:rFonts w:hint="default" w:ascii="微软雅黑" w:hAnsi="微软雅黑" w:eastAsia="微软雅黑" w:cs="微软雅黑"/>
          <w:b/>
          <w:bCs/>
          <w:sz w:val="28"/>
          <w:szCs w:val="28"/>
          <w:lang w:val="en-US" w:eastAsia="zh-CN"/>
        </w:rPr>
        <w:t>表达通俗</w:t>
      </w:r>
      <w:r>
        <w:rPr>
          <w:rFonts w:hint="eastAsia" w:cs="微软雅黑"/>
          <w:b/>
          <w:bCs/>
          <w:sz w:val="28"/>
          <w:szCs w:val="28"/>
          <w:lang w:val="en-US" w:eastAsia="zh-CN"/>
        </w:rPr>
        <w:t>：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用易懂语言讲复杂知识，以生活例子类比专业概念。解释股权激励原理时，用合伙开店类比，降低学习难度。</w:t>
      </w:r>
    </w:p>
    <w:p w14:paraId="5484C94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4、</w:t>
      </w:r>
      <w:r>
        <w:rPr>
          <w:rFonts w:hint="default" w:ascii="微软雅黑" w:hAnsi="微软雅黑" w:eastAsia="微软雅黑" w:cs="微软雅黑"/>
          <w:b/>
          <w:bCs/>
          <w:sz w:val="28"/>
          <w:szCs w:val="28"/>
          <w:lang w:val="en-US" w:eastAsia="zh-CN"/>
        </w:rPr>
        <w:t xml:space="preserve"> 个性教学</w:t>
      </w:r>
      <w:r>
        <w:rPr>
          <w:rFonts w:hint="eastAsia" w:cs="微软雅黑"/>
          <w:b/>
          <w:bCs/>
          <w:sz w:val="28"/>
          <w:szCs w:val="28"/>
          <w:lang w:val="en-US" w:eastAsia="zh-CN"/>
        </w:rPr>
        <w:t>：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根据学员背景和需求调整内容与方式。对有经验者探讨前沿问题，初学者从基础入手，满足不同学习需求。</w:t>
      </w:r>
    </w:p>
    <w:p w14:paraId="0E89FB1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eastAsia"/>
          <w:spacing w:val="-1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5、</w:t>
      </w:r>
      <w:r>
        <w:rPr>
          <w:rFonts w:hint="default" w:ascii="微软雅黑" w:hAnsi="微软雅黑" w:eastAsia="微软雅黑" w:cs="微软雅黑"/>
          <w:b/>
          <w:bCs/>
          <w:sz w:val="28"/>
          <w:szCs w:val="28"/>
          <w:lang w:val="en-US" w:eastAsia="zh-CN"/>
        </w:rPr>
        <w:t>实用导向</w:t>
      </w:r>
      <w:r>
        <w:rPr>
          <w:rFonts w:hint="eastAsia" w:cs="微软雅黑"/>
          <w:b/>
          <w:bCs/>
          <w:sz w:val="28"/>
          <w:szCs w:val="28"/>
          <w:lang w:val="en-US" w:eastAsia="zh-CN"/>
        </w:rPr>
        <w:t>：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围绕企业实际需求，强调知识实用性。课程中详细讲解工具方法，提供操作模板与案例，如人才盘点课教具体操作，学完即可应用。</w:t>
      </w:r>
      <w:r>
        <w:rPr>
          <w:rFonts w:hint="default" w:cs="微软雅黑"/>
          <w:b/>
          <w:bCs/>
          <w:sz w:val="32"/>
          <w:szCs w:val="32"/>
          <w:lang w:val="en-US" w:eastAsia="zh-CN"/>
        </w:rPr>
        <w:t xml:space="preserve"> </w:t>
      </w:r>
    </w:p>
    <w:p w14:paraId="2F474C18">
      <w:pPr>
        <w:spacing w:line="268" w:lineRule="auto"/>
        <w:rPr>
          <w:rFonts w:ascii="Arial"/>
          <w:sz w:val="21"/>
        </w:rPr>
      </w:pPr>
    </w:p>
    <w:p w14:paraId="01216B6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ind w:left="34"/>
        <w:textAlignment w:val="baseline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三、主讲课程</w:t>
      </w:r>
    </w:p>
    <w:p w14:paraId="538D03D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《绩效成功的六个关键》 《绩效经营激活增长》《三维两高薪酬激励体系》 《卓越招聘》《经理认知角色定位与职业发展》 《咨询式组织澄清与职位分析》 《人才盘点盘出组织活力》《绩效管理》《非人力资源管理》《人才盘点》《组织体系设计》《薪酬设计》《人力资源六大模块》《招聘与面试》</w:t>
      </w:r>
      <w:r>
        <w:rPr>
          <w:rFonts w:hint="eastAsia" w:cs="微软雅黑"/>
          <w:b w:val="0"/>
          <w:bCs w:val="0"/>
          <w:sz w:val="28"/>
          <w:szCs w:val="28"/>
          <w:lang w:val="en-US" w:eastAsia="zh-CN"/>
        </w:rPr>
        <w:t>《战略人力资源》</w:t>
      </w:r>
    </w:p>
    <w:p w14:paraId="0D15E9C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</w:p>
    <w:p w14:paraId="2FB66D9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ind w:left="34" w:leftChars="0"/>
        <w:textAlignment w:val="baseline"/>
        <w:rPr>
          <w:rFonts w:hint="eastAsia" w:cs="微软雅黑"/>
          <w:b/>
          <w:bCs/>
          <w:sz w:val="32"/>
          <w:szCs w:val="32"/>
          <w:lang w:val="en-US" w:eastAsia="zh-CN"/>
        </w:rPr>
      </w:pPr>
      <w:r>
        <w:rPr>
          <w:rFonts w:hint="eastAsia" w:cs="微软雅黑"/>
          <w:b/>
          <w:bCs/>
          <w:sz w:val="32"/>
          <w:szCs w:val="32"/>
          <w:lang w:val="en-US" w:eastAsia="zh-CN"/>
        </w:rPr>
        <w:t>四、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授课视频</w:t>
      </w:r>
      <w:r>
        <w:rPr>
          <w:rFonts w:hint="eastAsia" w:cs="微软雅黑"/>
          <w:b/>
          <w:bCs/>
          <w:sz w:val="32"/>
          <w:szCs w:val="32"/>
          <w:lang w:val="en-US" w:eastAsia="zh-CN"/>
        </w:rPr>
        <w:t>：</w:t>
      </w:r>
    </w:p>
    <w:p w14:paraId="7BEA2C5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1、赵来宾：绩效管理-1</w:t>
      </w:r>
    </w:p>
    <w:p w14:paraId="4B60A33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instrText xml:space="preserve"> HYPERLINK "https://www.iqiyi.com/v_kh51brrs8c.html" </w:instrTex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fldChar w:fldCharType="separate"/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https://www.iqiyi.com/v_kh51brrs8c.html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fldChar w:fldCharType="end"/>
      </w:r>
    </w:p>
    <w:p w14:paraId="04F673C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2、赵来宾：绩效管理</w:t>
      </w:r>
    </w:p>
    <w:p w14:paraId="40E5FD5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instrText xml:space="preserve"> HYPERLINK "https://www.iqiyi.com/v_kdsiq6zypc.html" </w:instrTex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https://www.iqiyi.com/v_kdsiq6zypc.html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fldChar w:fldCharType="end"/>
      </w:r>
    </w:p>
    <w:p w14:paraId="2C844FB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</w:p>
    <w:p w14:paraId="4362ED2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eastAsia" w:cs="微软雅黑"/>
          <w:b/>
          <w:bCs/>
          <w:sz w:val="32"/>
          <w:szCs w:val="32"/>
          <w:lang w:val="en-US" w:eastAsia="zh-CN"/>
        </w:rPr>
      </w:pPr>
      <w:r>
        <w:rPr>
          <w:rFonts w:hint="eastAsia" w:cs="微软雅黑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学员评价</w:t>
      </w:r>
      <w:r>
        <w:rPr>
          <w:rFonts w:hint="eastAsia" w:cs="微软雅黑"/>
          <w:b/>
          <w:bCs/>
          <w:sz w:val="32"/>
          <w:szCs w:val="32"/>
          <w:lang w:val="en-US" w:eastAsia="zh-CN"/>
        </w:rPr>
        <w:t>：</w:t>
      </w:r>
    </w:p>
    <w:p w14:paraId="68CB259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1、赵来宾老师的绩效课程系统性很强，是一套能够帮助企业将战略目标转化为具体行动的绩效系统 ，他帮助我们实现了成功的绩效变革 ，这一次非常成功！</w:t>
      </w:r>
      <w:r>
        <w:rPr>
          <w:rFonts w:hint="eastAsia" w:cs="微软雅黑"/>
          <w:b w:val="0"/>
          <w:bCs w:val="0"/>
          <w:sz w:val="28"/>
          <w:szCs w:val="28"/>
          <w:lang w:val="en-US" w:eastAsia="zh-CN"/>
        </w:rPr>
        <w:t xml:space="preserve">                  </w:t>
      </w:r>
      <w:r>
        <w:rPr>
          <w:rFonts w:hint="eastAsia" w:cs="微软雅黑"/>
          <w:b/>
          <w:bCs/>
          <w:sz w:val="28"/>
          <w:szCs w:val="28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—— 茂新化工董事长</w:t>
      </w:r>
    </w:p>
    <w:p w14:paraId="230E02C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2、他的课程从来不是就知识讲知识，而是抛弃传统认知，结合企业现状，给了一套非常崭新的工具 ，实施性很强 ，与当下的时代和企业的发展非常契合！</w:t>
      </w:r>
      <w:r>
        <w:rPr>
          <w:rFonts w:hint="eastAsia" w:cs="微软雅黑"/>
          <w:b w:val="0"/>
          <w:bCs w:val="0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——包钢集团总监 郑义生</w:t>
      </w:r>
    </w:p>
    <w:p w14:paraId="2FCD572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3、这个老师来的太及时了 ，他讲的东西正是我们当下面临的最大挑战！</w:t>
      </w:r>
      <w:r>
        <w:rPr>
          <w:rFonts w:hint="eastAsia" w:cs="微软雅黑"/>
          <w:b w:val="0"/>
          <w:bCs w:val="0"/>
          <w:sz w:val="28"/>
          <w:szCs w:val="28"/>
          <w:lang w:val="en-US" w:eastAsia="zh-CN"/>
        </w:rPr>
        <w:t xml:space="preserve">                                               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——中江药业总监   梁国民</w:t>
      </w:r>
    </w:p>
    <w:p w14:paraId="6F688F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4、他讲课那个风格 ，总是娓娓道来 ，知识给的是系统的 ，不是点状的 ，焕然一新！</w:t>
      </w:r>
      <w:r>
        <w:rPr>
          <w:rFonts w:hint="eastAsia" w:cs="微软雅黑"/>
          <w:b w:val="0"/>
          <w:bCs w:val="0"/>
          <w:sz w:val="28"/>
          <w:szCs w:val="28"/>
          <w:lang w:val="en-US" w:eastAsia="zh-CN"/>
        </w:rPr>
        <w:t xml:space="preserve">                     </w:t>
      </w:r>
      <w:r>
        <w:rPr>
          <w:rFonts w:hint="eastAsia" w:cs="微软雅黑"/>
          <w:b/>
          <w:bCs/>
          <w:sz w:val="28"/>
          <w:szCs w:val="28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——山东盛宝副总 徐国强</w:t>
      </w:r>
    </w:p>
    <w:p w14:paraId="7F01EA5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5、他和大多数讲师不太一样，有种非常儒雅的风格，在他的课上就像打开了一个知识宝藏 ，吸引着你不断往深处钻研 ，受益匪浅！</w:t>
      </w:r>
    </w:p>
    <w:p w14:paraId="42F3E7E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ind w:firstLine="4482" w:firstLineChars="1600"/>
        <w:textAlignment w:val="baseline"/>
        <w:rPr>
          <w:rFonts w:ascii="Arial"/>
          <w:sz w:val="21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——仁心药业人力部长  宋艳萍</w:t>
      </w:r>
    </w:p>
    <w:p w14:paraId="214D2D4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textAlignment w:val="baseline"/>
        <w:rPr>
          <w:rFonts w:hint="eastAsia" w:cs="微软雅黑"/>
          <w:b/>
          <w:bCs/>
          <w:sz w:val="32"/>
          <w:szCs w:val="32"/>
          <w:lang w:val="en-US" w:eastAsia="zh-CN"/>
        </w:rPr>
      </w:pPr>
      <w:r>
        <w:rPr>
          <w:rFonts w:hint="eastAsia" w:cs="微软雅黑"/>
          <w:b/>
          <w:bCs/>
          <w:sz w:val="32"/>
          <w:szCs w:val="32"/>
          <w:lang w:val="en-US" w:eastAsia="zh-CN"/>
        </w:rPr>
        <w:t>六、服务客户：</w:t>
      </w:r>
    </w:p>
    <w:p w14:paraId="068085A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3" w:line="580" w:lineRule="exact"/>
        <w:ind w:firstLine="560" w:firstLineChars="200"/>
        <w:textAlignment w:val="baseline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山钢集团及旗下分子公司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包钢集团及旗下分子公司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葵花药业集团及旗下分子公司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中江药业集团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华润江中制药集团有限责任公司河北仁心药业有限公司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山东力山特智能科技有限公司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山东盛宝集团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河北茂新化工有限公司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安徽凤凰股份有限公司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安徽金科印务有限公司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安徽乐方食品有限公司山东利达集团有限公司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广西天旭物业</w:t>
      </w:r>
      <w:r>
        <w:rPr>
          <w:rFonts w:hint="eastAsia" w:cs="微软雅黑"/>
          <w:b w:val="0"/>
          <w:bCs w:val="0"/>
          <w:sz w:val="28"/>
          <w:szCs w:val="28"/>
          <w:lang w:val="en-US" w:eastAsia="zh-CN"/>
        </w:rPr>
        <w:t>、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茂新化工</w:t>
      </w:r>
      <w:r>
        <w:rPr>
          <w:rFonts w:hint="eastAsia" w:cs="微软雅黑"/>
          <w:b w:val="0"/>
          <w:bCs w:val="0"/>
          <w:sz w:val="28"/>
          <w:szCs w:val="28"/>
          <w:lang w:val="en-US" w:eastAsia="zh-CN"/>
        </w:rPr>
        <w:t>、山东旺裕橡胶、万众炜业、唐山助钢、山东东达、润恒控股、神力锁具、恒旺佳德彩钢、金科印务、恒彩数码、盛宝集团、鸿雁包装、利达集团、乐方食品、钢山酒业、力山特科技、凤凰滤清器。</w:t>
      </w:r>
    </w:p>
    <w:p w14:paraId="5DB06053">
      <w:pPr>
        <w:pStyle w:val="2"/>
        <w:spacing w:before="265" w:line="230" w:lineRule="auto"/>
      </w:pPr>
    </w:p>
    <w:sectPr>
      <w:pgSz w:w="11906" w:h="16839"/>
      <w:pgMar w:top="1431" w:right="1730" w:bottom="1134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8772EC"/>
    <w:multiLevelType w:val="singleLevel"/>
    <w:tmpl w:val="B58772E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3931A3E"/>
    <w:rsid w:val="06035C4C"/>
    <w:rsid w:val="071E2D3E"/>
    <w:rsid w:val="09336848"/>
    <w:rsid w:val="0B4F224C"/>
    <w:rsid w:val="15683B18"/>
    <w:rsid w:val="18646259"/>
    <w:rsid w:val="1B83540D"/>
    <w:rsid w:val="1C4921B3"/>
    <w:rsid w:val="3111310C"/>
    <w:rsid w:val="33CD3272"/>
    <w:rsid w:val="33F45B71"/>
    <w:rsid w:val="37C4498C"/>
    <w:rsid w:val="37D47B5E"/>
    <w:rsid w:val="3AB64A60"/>
    <w:rsid w:val="460755B7"/>
    <w:rsid w:val="4CBD1C7E"/>
    <w:rsid w:val="4EFB4CDF"/>
    <w:rsid w:val="642146F5"/>
    <w:rsid w:val="67850001"/>
    <w:rsid w:val="6F116E29"/>
    <w:rsid w:val="77640DC4"/>
    <w:rsid w:val="7E3F7E95"/>
    <w:rsid w:val="7F594F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1722</Words>
  <Characters>1814</Characters>
  <TotalTime>3</TotalTime>
  <ScaleCrop>false</ScaleCrop>
  <LinksUpToDate>false</LinksUpToDate>
  <CharactersWithSpaces>2002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2025-11-28T16:26:00Z</dcterms:created>
  <dc:creator>杨上上</dc:creator>
  <cp:lastModifiedBy>☆芬芬经纪--张芬芬 13723708479☆</cp:lastModifiedBy>
  <dcterms:modified xsi:type="dcterms:W3CDTF">2025-12-12T02:24:39Z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2025-11-28T16:38:41Z</vt:filetime>
  </property>
  <property fmtid="{D5CDD505-2E9C-101B-9397-08002B2CF9AE}" pid="4" name="KSOTemplateDocerSaveRecord">
    <vt:lpwstr>eyJoZGlkIjoiNjIwYzZhZjg0YTU5ODJiMTc1M2JlZTUyNDI4NzdmNjAiLCJ1c2VySWQiOiIyMzM5MzM0NjYifQ==</vt:lpwstr>
  </property>
  <property fmtid="{D5CDD505-2E9C-101B-9397-08002B2CF9AE}" pid="5" name="KSOProductBuildVer">
    <vt:lpwstr>2052-12.1.0.23125</vt:lpwstr>
  </property>
  <property fmtid="{D5CDD505-2E9C-101B-9397-08002B2CF9AE}" pid="6" name="ICV">
    <vt:lpwstr>B0A0EC28F51A49948EAC17076F540B97_13</vt:lpwstr>
  </property>
</Properties>
</file>