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40" w:lineRule="exact"/>
        <w:ind w:firstLine="2409" w:firstLineChars="1000"/>
        <w:textAlignment w:val="auto"/>
        <w:rPr>
          <w:rFonts w:hint="eastAsia"/>
          <w:b/>
          <w:bCs/>
          <w:sz w:val="24"/>
          <w:szCs w:val="24"/>
        </w:rPr>
      </w:pPr>
      <w:bookmarkStart w:id="0" w:name="_GoBack"/>
      <w:bookmarkEnd w:id="0"/>
      <w:r>
        <w:rPr>
          <w:rFonts w:hint="eastAsia"/>
          <w:b/>
          <w:bCs/>
          <w:sz w:val="24"/>
          <w:szCs w:val="24"/>
        </w:rPr>
        <w:t>天然气行业发展政策研判和解读</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bCs/>
          <w:sz w:val="21"/>
          <w:szCs w:val="21"/>
        </w:rPr>
      </w:pPr>
      <w:r>
        <w:rPr>
          <w:rFonts w:hint="eastAsia"/>
          <w:b/>
          <w:bCs/>
          <w:sz w:val="21"/>
          <w:szCs w:val="21"/>
        </w:rPr>
        <w:t>课程背景：</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b w:val="0"/>
          <w:bCs w:val="0"/>
          <w:sz w:val="21"/>
          <w:szCs w:val="21"/>
        </w:rPr>
      </w:pPr>
      <w:r>
        <w:rPr>
          <w:rFonts w:hint="eastAsia"/>
          <w:b w:val="0"/>
          <w:bCs w:val="0"/>
          <w:sz w:val="21"/>
          <w:szCs w:val="21"/>
        </w:rPr>
        <w:t>天然气是一种清洁、低碳、高效的化石能源，日益成为煤炭等传统化石能源的替代物，刺激天然气需求持续增加，预计天然气长输管道关键技术装备的研发应用将不断推动我国天然气行业的发展。《方案》提出，</w:t>
      </w:r>
      <w:r>
        <w:rPr>
          <w:rFonts w:hint="eastAsia"/>
          <w:b/>
          <w:bCs/>
          <w:sz w:val="21"/>
          <w:szCs w:val="21"/>
        </w:rPr>
        <w:t>按照“管住中间、放开两头”的改革方向</w:t>
      </w:r>
      <w:r>
        <w:rPr>
          <w:rFonts w:hint="eastAsia"/>
          <w:b w:val="0"/>
          <w:bCs w:val="0"/>
          <w:sz w:val="21"/>
          <w:szCs w:val="21"/>
        </w:rPr>
        <w:t>，根据天然气管网等基础设施独立运营及勘探开发、供气和销售主体多元化进程，稳步推进天然气门站价格市场化改革，完善终端销售价格与采购成本联动机制。积极协调推进城镇燃气配送网络公平开放，减少配气层级，严格监管配气价格，探索推进终端用户销售价格市场化。</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bCs/>
          <w:sz w:val="21"/>
          <w:szCs w:val="21"/>
          <w:lang w:val="en-US" w:eastAsia="zh-CN"/>
        </w:rPr>
      </w:pPr>
      <w:r>
        <w:rPr>
          <w:rFonts w:hint="eastAsia"/>
          <w:b/>
          <w:bCs/>
          <w:sz w:val="21"/>
          <w:szCs w:val="21"/>
          <w:lang w:val="en-US" w:eastAsia="zh-CN"/>
        </w:rPr>
        <w:t>课程目标：</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lang w:val="en-US" w:eastAsia="zh-CN"/>
        </w:rPr>
      </w:pPr>
      <w:r>
        <w:rPr>
          <w:rFonts w:hint="eastAsia"/>
          <w:b w:val="0"/>
          <w:bCs w:val="0"/>
          <w:sz w:val="21"/>
          <w:szCs w:val="21"/>
          <w:lang w:val="en-US" w:eastAsia="zh-CN"/>
        </w:rPr>
        <w:t>理解天然气行业的政策体系和政策制定过程；</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lang w:val="en-US" w:eastAsia="zh-CN"/>
        </w:rPr>
      </w:pPr>
      <w:r>
        <w:rPr>
          <w:rFonts w:hint="eastAsia"/>
          <w:b w:val="0"/>
          <w:bCs w:val="0"/>
          <w:sz w:val="21"/>
          <w:szCs w:val="21"/>
          <w:lang w:val="en-US" w:eastAsia="zh-CN"/>
        </w:rPr>
        <w:t>分析政策对天然气行业发展的影响；</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lang w:val="en-US" w:eastAsia="zh-CN"/>
        </w:rPr>
      </w:pPr>
      <w:r>
        <w:rPr>
          <w:rFonts w:hint="eastAsia"/>
          <w:b w:val="0"/>
          <w:bCs w:val="0"/>
          <w:sz w:val="21"/>
          <w:szCs w:val="21"/>
          <w:lang w:val="en-US" w:eastAsia="zh-CN"/>
        </w:rPr>
        <w:t>掌握政策解读的方法和技巧；</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eastAsiaTheme="minorEastAsia"/>
          <w:b w:val="0"/>
          <w:bCs w:val="0"/>
          <w:sz w:val="21"/>
          <w:szCs w:val="21"/>
          <w:lang w:val="en-US" w:eastAsia="zh-CN"/>
        </w:rPr>
      </w:pPr>
      <w:r>
        <w:rPr>
          <w:rFonts w:hint="eastAsia"/>
          <w:b w:val="0"/>
          <w:bCs w:val="0"/>
          <w:sz w:val="21"/>
          <w:szCs w:val="21"/>
          <w:lang w:val="en-US" w:eastAsia="zh-CN"/>
        </w:rPr>
        <w:t>提高学员在天然气行业中应对政策变化的能力。</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bCs/>
          <w:sz w:val="21"/>
          <w:szCs w:val="21"/>
        </w:rPr>
      </w:pPr>
      <w:r>
        <w:rPr>
          <w:rFonts w:hint="eastAsia"/>
          <w:b/>
          <w:bCs/>
          <w:sz w:val="21"/>
          <w:szCs w:val="21"/>
        </w:rPr>
        <w:t>课程大纲：</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bCs/>
          <w:sz w:val="21"/>
          <w:szCs w:val="21"/>
        </w:rPr>
      </w:pPr>
      <w:r>
        <w:rPr>
          <w:rFonts w:hint="eastAsia"/>
          <w:b/>
          <w:bCs/>
          <w:sz w:val="21"/>
          <w:szCs w:val="21"/>
        </w:rPr>
        <w:t>第一</w:t>
      </w:r>
      <w:r>
        <w:rPr>
          <w:rFonts w:hint="eastAsia"/>
          <w:b/>
          <w:bCs/>
          <w:sz w:val="21"/>
          <w:szCs w:val="21"/>
          <w:lang w:val="en-US" w:eastAsia="zh-CN"/>
        </w:rPr>
        <w:t>讲</w:t>
      </w:r>
      <w:r>
        <w:rPr>
          <w:rFonts w:hint="eastAsia"/>
          <w:b/>
          <w:bCs/>
          <w:sz w:val="21"/>
          <w:szCs w:val="21"/>
        </w:rPr>
        <w:t xml:space="preserve"> 燃气天然气行业国内外发展概况</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全球燃气天然气行业发展概况</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全球燃气天然气行业发展现状</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主要国家和地区发展状况</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全球燃气天然气行业发展趋势</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中国燃气天然气行业发展概况</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中国燃气天然气行业发展历程与现状</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中国燃气天然气行业发展中存在的问题</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bCs/>
          <w:sz w:val="21"/>
          <w:szCs w:val="21"/>
        </w:rPr>
      </w:pPr>
      <w:r>
        <w:rPr>
          <w:rFonts w:hint="eastAsia"/>
          <w:b/>
          <w:bCs/>
          <w:sz w:val="21"/>
          <w:szCs w:val="21"/>
        </w:rPr>
        <w:t>第</w:t>
      </w:r>
      <w:r>
        <w:rPr>
          <w:rFonts w:hint="eastAsia"/>
          <w:b/>
          <w:bCs/>
          <w:sz w:val="21"/>
          <w:szCs w:val="21"/>
          <w:lang w:val="en-US" w:eastAsia="zh-CN"/>
        </w:rPr>
        <w:t xml:space="preserve">二讲 </w:t>
      </w:r>
      <w:r>
        <w:rPr>
          <w:rFonts w:hint="eastAsia"/>
          <w:b/>
          <w:bCs/>
          <w:sz w:val="21"/>
          <w:szCs w:val="21"/>
        </w:rPr>
        <w:t>中国燃气天然气行业市场规模及增速</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燃气天然气行业市场饱和度</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影响燃气天然气市场规模的因素</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燃气天然气行业市场潜力</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2022-2026年中国燃气天然气市场规模及增速预测</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燃气天然气行业所处生命周期</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技术变革与行业革新对燃气天然气行业的影响</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bCs/>
          <w:sz w:val="21"/>
          <w:szCs w:val="21"/>
          <w:lang w:val="en-US"/>
        </w:rPr>
      </w:pPr>
      <w:r>
        <w:rPr>
          <w:rFonts w:hint="eastAsia"/>
          <w:b/>
          <w:bCs/>
          <w:sz w:val="21"/>
          <w:szCs w:val="21"/>
        </w:rPr>
        <w:t>第</w:t>
      </w:r>
      <w:r>
        <w:rPr>
          <w:rFonts w:hint="eastAsia"/>
          <w:b/>
          <w:bCs/>
          <w:sz w:val="21"/>
          <w:szCs w:val="21"/>
          <w:lang w:val="en-US" w:eastAsia="zh-CN"/>
        </w:rPr>
        <w:t>三讲</w:t>
      </w:r>
      <w:r>
        <w:rPr>
          <w:rFonts w:hint="eastAsia"/>
          <w:b/>
          <w:bCs/>
          <w:sz w:val="21"/>
          <w:szCs w:val="21"/>
        </w:rPr>
        <w:t xml:space="preserve"> 燃气行业</w:t>
      </w:r>
      <w:r>
        <w:rPr>
          <w:rFonts w:hint="eastAsia"/>
          <w:b/>
          <w:bCs/>
          <w:sz w:val="21"/>
          <w:szCs w:val="21"/>
          <w:lang w:val="en-US" w:eastAsia="zh-CN"/>
        </w:rPr>
        <w:t>产业链上下游分析</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lang w:val="en-US" w:eastAsia="zh-CN"/>
        </w:rPr>
        <w:t>一、</w:t>
      </w:r>
      <w:r>
        <w:rPr>
          <w:rFonts w:hint="eastAsia"/>
          <w:b w:val="0"/>
          <w:bCs w:val="0"/>
          <w:sz w:val="21"/>
          <w:szCs w:val="21"/>
        </w:rPr>
        <w:t>上游供应状况</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上游产业发展现状</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上游产业生产情况</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近年来上游产业产品价格变化情况</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上游产业对燃气天然气行业生产成本的影响</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lang w:val="en-US" w:eastAsia="zh-CN"/>
        </w:rPr>
        <w:t>二、</w:t>
      </w:r>
      <w:r>
        <w:rPr>
          <w:rFonts w:hint="eastAsia"/>
          <w:b w:val="0"/>
          <w:bCs w:val="0"/>
          <w:sz w:val="21"/>
          <w:szCs w:val="21"/>
        </w:rPr>
        <w:t>下游应用领域</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下游应用领域概述</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bCs/>
          <w:sz w:val="21"/>
          <w:szCs w:val="21"/>
        </w:rPr>
      </w:pPr>
      <w:r>
        <w:rPr>
          <w:rFonts w:hint="eastAsia"/>
          <w:b/>
          <w:bCs/>
          <w:sz w:val="21"/>
          <w:szCs w:val="21"/>
        </w:rPr>
        <w:t>第</w:t>
      </w:r>
      <w:r>
        <w:rPr>
          <w:rFonts w:hint="eastAsia"/>
          <w:b/>
          <w:bCs/>
          <w:sz w:val="21"/>
          <w:szCs w:val="21"/>
          <w:lang w:val="en-US" w:eastAsia="zh-CN"/>
        </w:rPr>
        <w:t>四讲 燃气行业</w:t>
      </w:r>
      <w:r>
        <w:rPr>
          <w:rFonts w:hint="eastAsia"/>
          <w:b/>
          <w:bCs/>
          <w:sz w:val="21"/>
          <w:szCs w:val="21"/>
        </w:rPr>
        <w:t>投资机会及经营策略建议</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燃气天然气行业总体发展前景预测</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投资机会</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细分产业</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区域市场</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产业链</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企业经营策略建议</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产品定位与定价</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投融资建议</w:t>
      </w:r>
    </w:p>
    <w:p>
      <w:pPr>
        <w:keepNext w:val="0"/>
        <w:keepLines w:val="0"/>
        <w:pageBreakBefore w:val="0"/>
        <w:widowControl w:val="0"/>
        <w:numPr>
          <w:ilvl w:val="0"/>
          <w:numId w:val="5"/>
        </w:numPr>
        <w:kinsoku/>
        <w:wordWrap/>
        <w:overflowPunct/>
        <w:topLinePunct w:val="0"/>
        <w:autoSpaceDE/>
        <w:autoSpaceDN/>
        <w:bidi w:val="0"/>
        <w:adjustRightInd/>
        <w:snapToGrid/>
        <w:spacing w:line="340" w:lineRule="exact"/>
        <w:textAlignment w:val="auto"/>
        <w:rPr>
          <w:rFonts w:hint="eastAsia"/>
          <w:b/>
          <w:bCs/>
          <w:sz w:val="21"/>
          <w:szCs w:val="21"/>
        </w:rPr>
      </w:pPr>
      <w:r>
        <w:rPr>
          <w:rFonts w:hint="eastAsia"/>
          <w:b/>
          <w:bCs/>
          <w:sz w:val="21"/>
          <w:szCs w:val="21"/>
          <w:lang w:eastAsia="zh-CN"/>
        </w:rPr>
        <w:t>：</w:t>
      </w:r>
      <w:r>
        <w:rPr>
          <w:rFonts w:hint="eastAsia"/>
          <w:b/>
          <w:bCs/>
          <w:sz w:val="21"/>
          <w:szCs w:val="21"/>
        </w:rPr>
        <w:t>天然气行业发展趋势与政策展望</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国际天然气市场的变化趋势与政策走向</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中国天然气市场的变化趋势与政策走向</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企业如何适应未来政策环境与市场变化</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案例分析与实践操作</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国内外典型天然气企业应对政策的案例分析</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模拟政策情境，进行实战演练与分析</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互动问答与总结反思</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学员提问，专家解答；</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总结课程要点；</w:t>
      </w:r>
    </w:p>
    <w:p>
      <w:pPr>
        <w:keepNext w:val="0"/>
        <w:keepLines w:val="0"/>
        <w:pageBreakBefore w:val="0"/>
        <w:widowControl w:val="0"/>
        <w:numPr>
          <w:ilvl w:val="0"/>
          <w:numId w:val="6"/>
        </w:numPr>
        <w:kinsoku/>
        <w:wordWrap/>
        <w:overflowPunct/>
        <w:topLinePunct w:val="0"/>
        <w:autoSpaceDE/>
        <w:autoSpaceDN/>
        <w:bidi w:val="0"/>
        <w:adjustRightInd/>
        <w:snapToGrid/>
        <w:spacing w:line="340" w:lineRule="exact"/>
        <w:ind w:left="425" w:leftChars="0" w:hanging="425" w:firstLineChars="0"/>
        <w:textAlignment w:val="auto"/>
        <w:rPr>
          <w:rFonts w:hint="eastAsia"/>
          <w:b w:val="0"/>
          <w:bCs w:val="0"/>
          <w:sz w:val="21"/>
          <w:szCs w:val="21"/>
        </w:rPr>
      </w:pPr>
      <w:r>
        <w:rPr>
          <w:rFonts w:hint="eastAsia"/>
          <w:b w:val="0"/>
          <w:bCs w:val="0"/>
          <w:sz w:val="21"/>
          <w:szCs w:val="21"/>
        </w:rPr>
        <w:t>反思学习收获。</w:t>
      </w:r>
    </w:p>
    <w:p>
      <w:pPr>
        <w:keepNext w:val="0"/>
        <w:keepLines w:val="0"/>
        <w:pageBreakBefore w:val="0"/>
        <w:widowControl w:val="0"/>
        <w:numPr>
          <w:numId w:val="0"/>
        </w:numPr>
        <w:kinsoku/>
        <w:wordWrap/>
        <w:overflowPunct/>
        <w:topLinePunct w:val="0"/>
        <w:autoSpaceDE/>
        <w:autoSpaceDN/>
        <w:bidi w:val="0"/>
        <w:adjustRightInd/>
        <w:snapToGrid/>
        <w:spacing w:line="340" w:lineRule="exact"/>
        <w:textAlignment w:val="auto"/>
        <w:rPr>
          <w:rFonts w:hint="eastAsia"/>
          <w:b/>
          <w:bCs/>
          <w:sz w:val="21"/>
          <w:szCs w:val="21"/>
        </w:rPr>
      </w:pPr>
      <w:r>
        <w:rPr>
          <w:rFonts w:hint="eastAsia"/>
          <w:b/>
          <w:bCs/>
          <w:sz w:val="21"/>
          <w:szCs w:val="21"/>
          <w:lang w:val="en-US" w:eastAsia="zh-CN"/>
        </w:rPr>
        <w:t>案例分享：</w:t>
      </w:r>
      <w:r>
        <w:rPr>
          <w:rFonts w:hint="eastAsia"/>
          <w:b/>
          <w:bCs/>
          <w:sz w:val="21"/>
          <w:szCs w:val="21"/>
        </w:rPr>
        <w:t>天然气行业发展前景</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rPr>
        <w:t>1.政策支持天然气行业发</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rPr>
        <w:t>推广天然气的应用，符合国家节能减排、环境保护、可持续发展的政策要求。</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lang w:val="en-US" w:eastAsia="zh-CN"/>
        </w:rPr>
        <w:t>案例：</w:t>
      </w:r>
      <w:r>
        <w:rPr>
          <w:rFonts w:hint="eastAsia"/>
          <w:b w:val="0"/>
          <w:bCs w:val="0"/>
          <w:sz w:val="21"/>
          <w:szCs w:val="21"/>
        </w:rPr>
        <w:t>在“双碳”背景下，预计政策利好将有利于促进天然气行业上游供应主体竞争，推动中游管网公平开放、互联互通，实现管网统筹规划，提高资源配置效率，完善天然气行业的市场化定价机制，进一步推动天然气行业发展进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rPr>
        <w:t>2.城镇化刺激天然气消费需求增加</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lang w:val="en-US" w:eastAsia="zh-CN"/>
        </w:rPr>
        <w:t>案例：</w:t>
      </w:r>
      <w:r>
        <w:rPr>
          <w:rFonts w:hint="eastAsia"/>
          <w:b w:val="0"/>
          <w:bCs w:val="0"/>
          <w:sz w:val="21"/>
          <w:szCs w:val="21"/>
        </w:rPr>
        <w:t>我国的城镇化进程逐步加快，数据显示，城镇化率每提高一个百分点，每年将增加相当于8000万吨标煤的能源消费量。当前我国城镇化水平仍然偏低，新型城镇化对高效清洁天然气的需求将不断增长，加快推进新型城镇化建设将积极促进天然气利用，从而有利于行业发展。</w:t>
      </w:r>
    </w:p>
    <w:p>
      <w:pPr>
        <w:keepNext w:val="0"/>
        <w:keepLines w:val="0"/>
        <w:pageBreakBefore w:val="0"/>
        <w:widowControl w:val="0"/>
        <w:numPr>
          <w:ilvl w:val="0"/>
          <w:numId w:val="7"/>
        </w:numPr>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rPr>
        <w:t>技术升级推动行业发展</w:t>
      </w:r>
      <w:r>
        <w:rPr>
          <w:rFonts w:hint="eastAsia"/>
          <w:b w:val="0"/>
          <w:bCs w:val="0"/>
          <w:sz w:val="21"/>
          <w:szCs w:val="21"/>
          <w:lang w:val="en-US" w:eastAsia="zh-CN"/>
        </w:rPr>
        <w:t>与数字化建设</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eastAsia"/>
          <w:b w:val="0"/>
          <w:bCs w:val="0"/>
          <w:sz w:val="21"/>
          <w:szCs w:val="21"/>
        </w:rPr>
      </w:pPr>
      <w:r>
        <w:rPr>
          <w:rFonts w:hint="eastAsia"/>
          <w:b w:val="0"/>
          <w:bCs w:val="0"/>
          <w:sz w:val="21"/>
          <w:szCs w:val="21"/>
        </w:rPr>
        <w:t>我国以“西气东输二线”工程建设为依托，采取“政产学研用”联合攻关，大力推动天然气长输管道关键技术装备研发应用，加强产供储销体系建设。</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eastAsia"/>
          <w:b w:val="0"/>
          <w:bCs w:val="0"/>
          <w:sz w:val="21"/>
          <w:szCs w:val="21"/>
          <w:lang w:val="en-US" w:eastAsia="zh-CN"/>
        </w:rPr>
      </w:pPr>
      <w:r>
        <w:rPr>
          <w:rFonts w:hint="eastAsia"/>
          <w:b w:val="0"/>
          <w:bCs w:val="0"/>
          <w:sz w:val="21"/>
          <w:szCs w:val="21"/>
          <w:lang w:val="en-US" w:eastAsia="zh-CN"/>
        </w:rPr>
        <w:t>案例:</w:t>
      </w:r>
      <w:r>
        <w:rPr>
          <w:rFonts w:hint="eastAsia"/>
          <w:b w:val="0"/>
          <w:bCs w:val="0"/>
          <w:sz w:val="21"/>
          <w:szCs w:val="21"/>
        </w:rPr>
        <w:t>例如，30兆瓦级燃驱压缩机组的研制成功，其性能完全满足我国天然气管道的建设与运行要求，达到了国际先进水平</w:t>
      </w:r>
      <w:r>
        <w:rPr>
          <w:rFonts w:hint="eastAsia"/>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default"/>
          <w:b w:val="0"/>
          <w:bCs w:val="0"/>
          <w:sz w:val="21"/>
          <w:szCs w:val="21"/>
          <w:lang w:val="en-US" w:eastAsia="zh-CN"/>
        </w:rPr>
      </w:pPr>
      <w:r>
        <w:rPr>
          <w:rFonts w:hint="eastAsia"/>
          <w:b w:val="0"/>
          <w:bCs w:val="0"/>
          <w:sz w:val="21"/>
          <w:szCs w:val="21"/>
          <w:lang w:val="en-US" w:eastAsia="zh-CN"/>
        </w:rPr>
        <w:t>总结：互动交流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69BC49"/>
    <w:multiLevelType w:val="singleLevel"/>
    <w:tmpl w:val="8F69BC49"/>
    <w:lvl w:ilvl="0" w:tentative="0">
      <w:start w:val="1"/>
      <w:numFmt w:val="decimal"/>
      <w:lvlText w:val="%1."/>
      <w:lvlJc w:val="left"/>
      <w:pPr>
        <w:ind w:left="425" w:hanging="425"/>
      </w:pPr>
      <w:rPr>
        <w:rFonts w:hint="default"/>
      </w:rPr>
    </w:lvl>
  </w:abstractNum>
  <w:abstractNum w:abstractNumId="1">
    <w:nsid w:val="916E4FF0"/>
    <w:multiLevelType w:val="singleLevel"/>
    <w:tmpl w:val="916E4FF0"/>
    <w:lvl w:ilvl="0" w:tentative="0">
      <w:start w:val="1"/>
      <w:numFmt w:val="decimal"/>
      <w:lvlText w:val="(%1)"/>
      <w:lvlJc w:val="left"/>
      <w:pPr>
        <w:ind w:left="425" w:hanging="425"/>
      </w:pPr>
      <w:rPr>
        <w:rFonts w:hint="default"/>
      </w:rPr>
    </w:lvl>
  </w:abstractNum>
  <w:abstractNum w:abstractNumId="2">
    <w:nsid w:val="A28FB60D"/>
    <w:multiLevelType w:val="singleLevel"/>
    <w:tmpl w:val="A28FB60D"/>
    <w:lvl w:ilvl="0" w:tentative="0">
      <w:start w:val="3"/>
      <w:numFmt w:val="decimal"/>
      <w:lvlText w:val="%1."/>
      <w:lvlJc w:val="left"/>
      <w:pPr>
        <w:tabs>
          <w:tab w:val="left" w:pos="312"/>
        </w:tabs>
      </w:pPr>
    </w:lvl>
  </w:abstractNum>
  <w:abstractNum w:abstractNumId="3">
    <w:nsid w:val="B94F0E2D"/>
    <w:multiLevelType w:val="singleLevel"/>
    <w:tmpl w:val="B94F0E2D"/>
    <w:lvl w:ilvl="0" w:tentative="0">
      <w:start w:val="1"/>
      <w:numFmt w:val="decimal"/>
      <w:lvlText w:val="(%1)"/>
      <w:lvlJc w:val="left"/>
      <w:pPr>
        <w:ind w:left="425" w:hanging="425"/>
      </w:pPr>
      <w:rPr>
        <w:rFonts w:hint="default"/>
      </w:rPr>
    </w:lvl>
  </w:abstractNum>
  <w:abstractNum w:abstractNumId="4">
    <w:nsid w:val="44CBA4B3"/>
    <w:multiLevelType w:val="singleLevel"/>
    <w:tmpl w:val="44CBA4B3"/>
    <w:lvl w:ilvl="0" w:tentative="0">
      <w:start w:val="1"/>
      <w:numFmt w:val="decimal"/>
      <w:lvlText w:val="%1."/>
      <w:lvlJc w:val="left"/>
      <w:pPr>
        <w:ind w:left="425" w:hanging="425"/>
      </w:pPr>
      <w:rPr>
        <w:rFonts w:hint="default"/>
      </w:rPr>
    </w:lvl>
  </w:abstractNum>
  <w:abstractNum w:abstractNumId="5">
    <w:nsid w:val="57BA76CD"/>
    <w:multiLevelType w:val="singleLevel"/>
    <w:tmpl w:val="57BA76CD"/>
    <w:lvl w:ilvl="0" w:tentative="0">
      <w:start w:val="5"/>
      <w:numFmt w:val="chineseCounting"/>
      <w:suff w:val="space"/>
      <w:lvlText w:val="第%1讲"/>
      <w:lvlJc w:val="left"/>
      <w:rPr>
        <w:rFonts w:hint="eastAsia"/>
      </w:rPr>
    </w:lvl>
  </w:abstractNum>
  <w:abstractNum w:abstractNumId="6">
    <w:nsid w:val="5E886263"/>
    <w:multiLevelType w:val="singleLevel"/>
    <w:tmpl w:val="5E886263"/>
    <w:lvl w:ilvl="0" w:tentative="0">
      <w:start w:val="1"/>
      <w:numFmt w:val="decimal"/>
      <w:lvlText w:val="%1."/>
      <w:lvlJc w:val="left"/>
      <w:pPr>
        <w:ind w:left="425" w:hanging="425"/>
      </w:pPr>
      <w:rPr>
        <w:rFonts w:hint="default"/>
      </w:rPr>
    </w:lvl>
  </w:abstractNum>
  <w:num w:numId="1">
    <w:abstractNumId w:val="0"/>
  </w:num>
  <w:num w:numId="2">
    <w:abstractNumId w:val="3"/>
  </w:num>
  <w:num w:numId="3">
    <w:abstractNumId w:val="6"/>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5MmZlOTU1YmIxOGIwMjQ1NWQ0ZTRmMWZjNzUxMzcifQ=="/>
  </w:docVars>
  <w:rsids>
    <w:rsidRoot w:val="402C12B0"/>
    <w:rsid w:val="266876DA"/>
    <w:rsid w:val="402C12B0"/>
    <w:rsid w:val="5A794282"/>
    <w:rsid w:val="7B2D6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2022-03-31T08:19:00Z</dcterms:created>
  <dc:creator>南开李晓林</dc:creator>
  <cp:lastModifiedBy>南开李晓林</cp:lastModifiedBy>
  <dcterms:modified xsi:type="dcterms:W3CDTF">2024-01-10T09:18:40Z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053C371B2EBF4D0A964A114A9F02F8BC_13</vt:lpwstr>
  </property>
</Properties>
</file>