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-137795</wp:posOffset>
            </wp:positionV>
            <wp:extent cx="2571750" cy="1691640"/>
            <wp:effectExtent l="0" t="0" r="0" b="3810"/>
            <wp:wrapSquare wrapText="bothSides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36"/>
          <w:szCs w:val="36"/>
        </w:rPr>
        <w:t>王佩军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讲师资质：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诺基亚中国投资有限公司 – 诺基亚学院 培训经理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微软中国投资有限公司 高级HRBP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13年的人力资源行业从业经历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诺基亚中国投资有限公司，微软中国人力资源管理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工信部人力资源数据分析师-认证专家团成员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浙江大学城市学院一特邀人力资源数据分析系列课程专业讲师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研究方向：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《人力资源数据分析师》版权课程所有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</w:rPr>
        <w:t>《人力资源数据分析思维与工具箱》，《HR量化管理与数据分析业务实操手册》图书作者（2021年出版）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人力资源数据分析-公众号作者，1000+原创HB数据分析文章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8年人力资源数据分析专题研究，100+场人力资源数据分析线下课程，3000+全国HB线下学员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网易，千聊线上独家原创课程《人力资源数据分析师》，5W+线上学习学员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人力资源数据化转型系列 - 课程体系</w:t>
      </w:r>
    </w:p>
    <w:tbl>
      <w:tblPr>
        <w:tblStyle w:val="2"/>
        <w:tblpPr w:leftFromText="180" w:rightFromText="180" w:vertAnchor="text" w:horzAnchor="page" w:tblpX="730" w:tblpY="468"/>
        <w:tblOverlap w:val="never"/>
        <w:tblW w:w="111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75"/>
        <w:gridCol w:w="2235"/>
        <w:gridCol w:w="3375"/>
        <w:gridCol w:w="1215"/>
        <w:gridCol w:w="1005"/>
        <w:gridCol w:w="1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课程层级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阶段课程</w:t>
            </w:r>
          </w:p>
        </w:tc>
        <w:tc>
          <w:tcPr>
            <w:tcW w:w="5610" w:type="dxa"/>
            <w:gridSpan w:val="2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  程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形式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课程周期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认证证书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初级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L1线上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223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"'L1 线上系列课程'!A1"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《人力资源数据分析基础》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33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L1-1《数据图表基础》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L1-2《人力资源数据分析仪表盘设计》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L1-3 《人力资源数据动态图表设计》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L1-4  《人力资源数据建模课程》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线上训练营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2周</w:t>
            </w:r>
          </w:p>
        </w:tc>
        <w:tc>
          <w:tcPr>
            <w:tcW w:w="1050" w:type="dxa"/>
            <w:vMerge w:val="restar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人力资源数据分析师 - 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 线上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"'L2 线上系列课'!A1"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《人力资源数据化转型与分析》线上课程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L2-1 《人员流动&amp;离职数据分析》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L2-2 《招聘数据建模与分析》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L2-3 《培训数据分析》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L2-4 《薪酬结构数据分析》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L2-5 《人效数据建模》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《POWER QUERY 职场数据高效处理》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线上训练营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5周</w:t>
            </w:r>
          </w:p>
        </w:tc>
        <w:tc>
          <w:tcPr>
            <w:tcW w:w="1050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L2 认证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"'L2 人力资源数分析师 - 认证课程'!A1"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1、《人力资源数据化转型与分析思维》 数据分析师认证课程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线下课程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1050" w:type="dxa"/>
            <w:vMerge w:val="continue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中级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PB数据建模课程</w:t>
            </w:r>
          </w:p>
        </w:tc>
        <w:tc>
          <w:tcPr>
            <w:tcW w:w="561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kern w:val="0"/>
                <w:sz w:val="18"/>
                <w:szCs w:val="18"/>
                <w:u w:val="single"/>
                <w:lang w:val="en-US" w:eastAsia="zh-CN" w:bidi="ar"/>
              </w:rPr>
              <w:t>《POWER BI 零基础人力资源数据分析入门》</w:t>
            </w:r>
          </w:p>
        </w:tc>
        <w:tc>
          <w:tcPr>
            <w:tcW w:w="2220" w:type="dxa"/>
            <w:gridSpan w:val="2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线上课程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"'POWER BI 人力资源数据建模与分析'!A1"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2、《Power BI 人力资源数据建模分析》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线下课程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1050" w:type="dxa"/>
            <w:tcBorders>
              <w:top w:val="single" w:color="000000" w:sz="8" w:space="0"/>
              <w:left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75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高级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L3-1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专家课程</w:t>
            </w:r>
          </w:p>
        </w:tc>
        <w:tc>
          <w:tcPr>
            <w:tcW w:w="561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"'L3-1 数据化薪酬分析专家 - 认证课程'!A1"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3、《数据化薪酬建模与分析思维》 专家认证课程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12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线下课程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1050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数据化模块专家 认证证书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L3-2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专家课程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"'L3-2 数据化人才盘点与人才发展'!A1"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4、《数据化人才盘点与信息化TD人才发展》 专家认证课程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线下课程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1050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内训课程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职场数据分析课</w:t>
            </w:r>
          </w:p>
        </w:tc>
        <w:tc>
          <w:tcPr>
            <w:tcW w:w="5610" w:type="dxa"/>
            <w:gridSpan w:val="2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563C1"/>
                <w:sz w:val="18"/>
                <w:szCs w:val="18"/>
                <w:u w:val="single"/>
              </w:rPr>
            </w:pP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begin"/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instrText xml:space="preserve"> HYPERLINK "" \l "职场数据化分析思维与应用!A1" </w:instrTex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default" w:ascii="等线" w:hAnsi="等线" w:eastAsia="等线" w:cs="等线"/>
                <w:b/>
                <w:bCs/>
                <w:i w:val="0"/>
                <w:iCs w:val="0"/>
                <w:sz w:val="18"/>
                <w:szCs w:val="18"/>
                <w:u w:val="single"/>
              </w:rPr>
              <w:t>5、《职场数据化分析思维与应用》</w:t>
            </w:r>
            <w:r>
              <w:rPr>
                <w:rFonts w:hint="default" w:ascii="等线" w:hAnsi="等线" w:eastAsia="等线" w:cs="等线"/>
                <w:b/>
                <w:bCs/>
                <w:i w:val="0"/>
                <w:iCs w:val="0"/>
                <w:kern w:val="0"/>
                <w:sz w:val="18"/>
                <w:szCs w:val="18"/>
                <w:u w:val="single"/>
                <w:lang w:val="en-US" w:eastAsia="zh-CN" w:bidi="ar"/>
              </w:rPr>
              <w:fldChar w:fldCharType="end"/>
            </w:r>
          </w:p>
        </w:tc>
        <w:tc>
          <w:tcPr>
            <w:tcW w:w="121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线下课程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1050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3385185</wp:posOffset>
            </wp:positionV>
            <wp:extent cx="2835910" cy="2687320"/>
            <wp:effectExtent l="0" t="0" r="2540" b="17780"/>
            <wp:wrapTopAndBottom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268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3193415</wp:posOffset>
            </wp:positionV>
            <wp:extent cx="2082165" cy="2922905"/>
            <wp:effectExtent l="0" t="0" r="10795" b="13335"/>
            <wp:wrapTopAndBottom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82165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3093720</wp:posOffset>
            </wp:positionV>
            <wp:extent cx="4831080" cy="2644140"/>
            <wp:effectExtent l="0" t="0" r="7620" b="3810"/>
            <wp:wrapNone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部分服务客户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日本兄弟brother集团、东莞沃德精密制造、蒙牛集团、中国电子科技集团、浙大城市学院、广东 温氏集团、湖南省电信、上海踏瑞计算机、广州中建港航局、太平鸟集团、深圳高灯科技、宁波文化广场、国家电网、申州集团、郎酒集团、陕西省邮政集团公司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YzZhZjg0YTU5ODJiMTc1M2JlZTUyNDI4NzdmNjAifQ=="/>
  </w:docVars>
  <w:rsids>
    <w:rsidRoot w:val="3D152832"/>
    <w:rsid w:val="2A3D12D5"/>
    <w:rsid w:val="3D15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character" w:customStyle="1" w:styleId="5">
    <w:name w:val="font11"/>
    <w:basedOn w:val="3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hint="eastAsia" w:ascii="微软雅黑" w:hAnsi="微软雅黑" w:eastAsia="微软雅黑" w:cs="微软雅黑"/>
      <w:b/>
      <w:bCs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2022-06-10T06:37:00Z</dcterms:created>
  <dc:creator>向日葵</dc:creator>
  <cp:lastModifiedBy>谭艳15986792547</cp:lastModifiedBy>
  <dcterms:modified xsi:type="dcterms:W3CDTF">2023-07-24T09:08:55Z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EB840EF262934873B9C314FC8BF79FF2</vt:lpwstr>
  </property>
</Properties>
</file>