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6E6C" w:rsidRPr="00CB1CE9" w:rsidRDefault="00072F2D" w:rsidP="00045AD5">
      <w:pPr>
        <w:tabs>
          <w:tab w:val="right" w:pos="3920"/>
          <w:tab w:val="right" w:pos="9540"/>
        </w:tabs>
        <w:jc w:val="center"/>
        <w:rPr>
          <w:rFonts w:ascii="微软雅黑" w:eastAsia="微软雅黑" w:hAnsi="微软雅黑" w:cstheme="minorBidi"/>
          <w:b/>
          <w:color w:val="002060"/>
          <w:sz w:val="32"/>
          <w:szCs w:val="32"/>
        </w:rPr>
      </w:pPr>
      <w:r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 xml:space="preserve">《 </w:t>
      </w:r>
      <w:r w:rsidR="00CC72A8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曾国藩</w:t>
      </w:r>
      <w:r w:rsidR="00ED69B7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的</w:t>
      </w:r>
      <w:r w:rsidR="00F30682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为人</w:t>
      </w:r>
      <w:r w:rsidR="006940CC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相人</w:t>
      </w:r>
      <w:r w:rsidR="00D44450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和</w:t>
      </w:r>
      <w:r w:rsidR="007A23D8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用人</w:t>
      </w:r>
      <w:r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 xml:space="preserve"> 》©</w:t>
      </w:r>
    </w:p>
    <w:p w:rsidR="00072F2D" w:rsidRPr="00CB1CE9" w:rsidRDefault="00072F2D" w:rsidP="00CB1CE9">
      <w:pPr>
        <w:pStyle w:val="a8"/>
        <w:shd w:val="clear" w:color="auto" w:fill="FFFFFF"/>
        <w:spacing w:before="0" w:beforeAutospacing="0" w:after="0" w:afterAutospacing="0"/>
        <w:ind w:right="198" w:firstLineChars="200" w:firstLine="480"/>
        <w:jc w:val="center"/>
        <w:rPr>
          <w:rFonts w:ascii="微软雅黑" w:eastAsia="微软雅黑" w:hAnsi="微软雅黑" w:cstheme="minorBidi"/>
          <w:b/>
          <w:color w:val="002060"/>
          <w:kern w:val="2"/>
        </w:rPr>
      </w:pPr>
      <w:r w:rsidRPr="00CB1CE9">
        <w:rPr>
          <w:rFonts w:ascii="微软雅黑" w:eastAsia="微软雅黑" w:hAnsi="微软雅黑" w:cstheme="minorBidi" w:hint="eastAsia"/>
          <w:b/>
          <w:color w:val="002060"/>
          <w:kern w:val="2"/>
        </w:rPr>
        <w:t>杨子老师</w:t>
      </w:r>
      <w:r w:rsidR="00CB1CE9">
        <w:rPr>
          <w:rFonts w:ascii="微软雅黑" w:eastAsia="微软雅黑" w:hAnsi="微软雅黑" w:cstheme="minorBidi" w:hint="eastAsia"/>
          <w:b/>
          <w:color w:val="002060"/>
          <w:kern w:val="2"/>
        </w:rPr>
        <w:t>独立版权课</w:t>
      </w:r>
    </w:p>
    <w:p w:rsidR="009F1DEF" w:rsidRDefault="00A5782F" w:rsidP="00045AD5">
      <w:pPr>
        <w:tabs>
          <w:tab w:val="right" w:pos="3920"/>
          <w:tab w:val="right" w:pos="9540"/>
        </w:tabs>
        <w:jc w:val="center"/>
        <w:rPr>
          <w:rFonts w:ascii="微软雅黑" w:eastAsia="微软雅黑" w:hAnsi="微软雅黑"/>
          <w:b/>
          <w:color w:val="1F4E79"/>
          <w:sz w:val="32"/>
          <w:szCs w:val="32"/>
        </w:rPr>
      </w:pPr>
      <w:r>
        <w:rPr>
          <w:rFonts w:ascii="微软雅黑" w:eastAsia="微软雅黑" w:hAnsi="微软雅黑"/>
          <w:b/>
          <w:noProof/>
          <w:color w:val="1F4E79"/>
          <w:sz w:val="32"/>
          <w:szCs w:val="32"/>
        </w:rPr>
        <w:drawing>
          <wp:inline distT="0" distB="0" distL="0" distR="0">
            <wp:extent cx="4222750" cy="2987764"/>
            <wp:effectExtent l="19050" t="0" r="6350" b="0"/>
            <wp:docPr id="4" name="图片 4" descr="C:\Users\WINDOWS\AppData\Local\Temp\WeChat Files\0a079f078cd10c4615cc98aefe112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\AppData\Local\Temp\WeChat Files\0a079f078cd10c4615cc98aefe112c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981" cy="299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02B" w:rsidRPr="00832BEC" w:rsidRDefault="00F3002B" w:rsidP="00045AD5">
      <w:pPr>
        <w:pStyle w:val="a8"/>
        <w:spacing w:before="0" w:beforeAutospacing="0" w:after="0" w:afterAutospacing="0"/>
        <w:rPr>
          <w:rFonts w:ascii="微软雅黑" w:eastAsia="微软雅黑" w:hAnsi="微软雅黑" w:cs="仿宋"/>
          <w:b/>
          <w:color w:val="002060"/>
        </w:rPr>
      </w:pPr>
      <w:r w:rsidRPr="00832BEC">
        <w:rPr>
          <w:rFonts w:ascii="微软雅黑" w:eastAsia="微软雅黑" w:hAnsi="微软雅黑" w:hint="eastAsia"/>
          <w:b/>
          <w:bCs/>
          <w:color w:val="002060"/>
        </w:rPr>
        <w:t>课程背景</w:t>
      </w:r>
      <w:r w:rsidR="007A23D8" w:rsidRPr="00832BEC">
        <w:rPr>
          <w:rFonts w:ascii="微软雅黑" w:eastAsia="微软雅黑" w:hAnsi="微软雅黑" w:hint="eastAsia"/>
          <w:b/>
          <w:bCs/>
          <w:color w:val="002060"/>
        </w:rPr>
        <w:t>：</w:t>
      </w:r>
    </w:p>
    <w:p w:rsidR="000A0AA7" w:rsidRPr="00072F2D" w:rsidRDefault="00F30682" w:rsidP="007A7638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为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人，要学</w:t>
      </w:r>
      <w:r w:rsidR="004E743D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曾国藩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  <w:r w:rsidR="000A0AA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他从</w:t>
      </w:r>
      <w:r w:rsidR="00FE3F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一个</w:t>
      </w:r>
      <w:r w:rsidR="000A0AA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笨小孩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成长为</w:t>
      </w:r>
      <w:r w:rsidR="000A0AA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一代</w:t>
      </w:r>
      <w:r w:rsidR="006C26B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儒学</w:t>
      </w:r>
      <w:r w:rsidR="000A0AA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宗师，实现了修身齐家治国平天下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的人生梦想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；他拥有古今无数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铁杆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粉丝，</w:t>
      </w:r>
      <w:r w:rsidR="00FE3F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连伟人都</w:t>
      </w:r>
      <w:r w:rsidR="0079256B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曾经</w:t>
      </w:r>
      <w:r w:rsidR="00FE3F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说</w:t>
      </w:r>
      <w:r w:rsidR="0079256B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过</w:t>
      </w:r>
      <w:r w:rsidR="00FE3F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近人独服曾文正，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被</w:t>
      </w:r>
      <w:r w:rsidR="00FE3F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很多人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尊为师资；他</w:t>
      </w:r>
      <w:r w:rsidR="0079256B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修己安人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，被称为“</w:t>
      </w:r>
      <w:r w:rsidR="006C26B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立功立德</w:t>
      </w:r>
      <w:r w:rsidR="000A0AA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立言三不朽”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的近代完人</w:t>
      </w:r>
      <w:r w:rsidR="000A0AA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</w:p>
    <w:p w:rsidR="00DE267C" w:rsidRPr="00072F2D" w:rsidRDefault="000A0AA7" w:rsidP="007A7638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为官，要学</w:t>
      </w:r>
      <w:r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曾国藩</w:t>
      </w:r>
      <w:r w:rsidR="0079256B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他</w:t>
      </w:r>
      <w:r w:rsidR="00763739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打败太平天国，保住了大清江山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；他</w:t>
      </w:r>
      <w:r w:rsidR="004E743D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整肃政风、学习西方文化，使晚清出现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“同治中兴”</w:t>
      </w:r>
      <w:r w:rsidR="004E743D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；他克已唯严，崇尚气节，获得上下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拥戴；</w:t>
      </w:r>
      <w:r w:rsidR="00DE267C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他</w:t>
      </w:r>
      <w:r w:rsidR="00FE3F25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做官最好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，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升官最快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保官最稳，历尽宦海风波而安然无恙，荣宠不衰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9C303D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被政界人物奉为“官场楷模”。</w:t>
      </w:r>
    </w:p>
    <w:p w:rsidR="006C26B7" w:rsidRPr="00072F2D" w:rsidRDefault="00ED69B7" w:rsidP="00541E69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相</w:t>
      </w:r>
      <w:r w:rsidR="00DE267C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人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，要学曾国藩。他相人的水平极高，成功相人的案例堪称经典，《清史稿》的记载更让人叹为观止；他相人</w:t>
      </w:r>
      <w:r w:rsidR="00E425E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方法对于现代企业在人才测评和人力资源管理方面，具有重要的研究意义和重大的参考价值。</w:t>
      </w:r>
    </w:p>
    <w:p w:rsidR="00EF1458" w:rsidRPr="00072F2D" w:rsidRDefault="00DE267C" w:rsidP="00541E69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用人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，要学曾国藩</w:t>
      </w: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  <w:r w:rsidR="00E46A8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他</w:t>
      </w:r>
      <w:r w:rsidR="006C26B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说人生有局限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6C26B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举贤图大业</w:t>
      </w:r>
      <w:r w:rsidR="00EF1458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="00E425E5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他</w:t>
      </w:r>
      <w:r w:rsidR="00E425E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用</w:t>
      </w:r>
      <w:r w:rsidR="00E425E5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自己的十万湘军打败太平天国的百万雄兵</w:t>
      </w:r>
      <w:r w:rsidR="00E425E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="00EF1458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他</w:t>
      </w:r>
      <w:r w:rsidR="002E3C25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的幕府是中国</w:t>
      </w:r>
      <w:r w:rsidR="002E3C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近代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规模和作用最大的幕府</w:t>
      </w:r>
      <w:r w:rsidR="00EF1458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；他在</w:t>
      </w:r>
      <w:r w:rsidR="0099189B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</w:t>
      </w:r>
      <w:r w:rsidR="003733FB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时代，</w:t>
      </w:r>
      <w:r w:rsidR="002E3C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大清朝</w:t>
      </w:r>
      <w:r w:rsidR="003733FB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一二品的高官</w:t>
      </w:r>
      <w:r w:rsidR="002E3C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几乎</w:t>
      </w:r>
      <w:r w:rsidR="003733FB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有一半出自</w:t>
      </w:r>
      <w:r w:rsidR="002E3C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于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曾国藩</w:t>
      </w:r>
      <w:r w:rsidR="007A471C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的幕府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。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他和他用过的人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对于中国工业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教育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国防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</w:t>
      </w:r>
      <w:r w:rsidR="00046D73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科学等领域的近代化建设意义重大</w:t>
      </w:r>
      <w:r w:rsidR="00046D73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046D73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影响深远</w:t>
      </w:r>
      <w:r w:rsidR="00046D73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</w:p>
    <w:p w:rsidR="009F2960" w:rsidRPr="00072F2D" w:rsidRDefault="009F2960" w:rsidP="00541E69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杨子老师研究曾国藩20</w:t>
      </w:r>
      <w:r w:rsidR="00D44450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多年，从为人</w:t>
      </w: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相人</w:t>
      </w:r>
      <w:r w:rsidR="00D44450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和用人等</w:t>
      </w: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维度，真实还原曾国藩的成功路径，</w:t>
      </w:r>
      <w:r w:rsidR="006829E4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从而为当代</w:t>
      </w:r>
      <w:r w:rsidR="00E56612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企业家和</w:t>
      </w:r>
      <w:r w:rsidR="006829E4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各级管理者的</w:t>
      </w: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成长</w:t>
      </w:r>
      <w:r w:rsidR="006829E4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成才</w:t>
      </w:r>
      <w:r w:rsidR="00E56612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成功</w:t>
      </w:r>
      <w:r w:rsidR="006829E4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和创新管理提供有意义的借鉴。</w:t>
      </w:r>
    </w:p>
    <w:p w:rsidR="00EF1E98" w:rsidRPr="00072F2D" w:rsidRDefault="00EF1E98" w:rsidP="00072F2D">
      <w:pPr>
        <w:tabs>
          <w:tab w:val="right" w:pos="3920"/>
          <w:tab w:val="right" w:pos="9540"/>
        </w:tabs>
        <w:jc w:val="left"/>
        <w:rPr>
          <w:rFonts w:ascii="微软雅黑" w:eastAsia="微软雅黑" w:hAnsi="微软雅黑"/>
          <w:b/>
          <w:color w:val="FF0000"/>
          <w:sz w:val="28"/>
          <w:szCs w:val="28"/>
        </w:rPr>
      </w:pPr>
    </w:p>
    <w:p w:rsidR="00F3002B" w:rsidRPr="00832BEC" w:rsidRDefault="003A6C31" w:rsidP="00832BEC">
      <w:pPr>
        <w:pStyle w:val="a8"/>
        <w:spacing w:before="0" w:beforeAutospacing="0" w:after="0" w:afterAutospacing="0"/>
        <w:rPr>
          <w:rFonts w:ascii="微软雅黑" w:eastAsia="微软雅黑" w:hAnsi="微软雅黑"/>
          <w:b/>
          <w:bCs/>
          <w:color w:val="002060"/>
        </w:rPr>
      </w:pPr>
      <w:r w:rsidRPr="00832BEC">
        <w:rPr>
          <w:rFonts w:ascii="微软雅黑" w:eastAsia="微软雅黑" w:hAnsi="微软雅黑" w:hint="eastAsia"/>
          <w:b/>
          <w:bCs/>
          <w:color w:val="002060"/>
        </w:rPr>
        <w:lastRenderedPageBreak/>
        <w:t>课程</w:t>
      </w:r>
      <w:r w:rsidR="007A23D8" w:rsidRPr="00832BEC">
        <w:rPr>
          <w:rFonts w:ascii="微软雅黑" w:eastAsia="微软雅黑" w:hAnsi="微软雅黑" w:hint="eastAsia"/>
          <w:b/>
          <w:bCs/>
          <w:color w:val="002060"/>
        </w:rPr>
        <w:t>目标：</w:t>
      </w:r>
    </w:p>
    <w:p w:rsidR="004263FF" w:rsidRPr="00072F2D" w:rsidRDefault="00B25CF5" w:rsidP="00B62625">
      <w:pPr>
        <w:pStyle w:val="a9"/>
        <w:widowControl/>
        <w:numPr>
          <w:ilvl w:val="0"/>
          <w:numId w:val="13"/>
        </w:numPr>
        <w:spacing w:line="440" w:lineRule="exact"/>
        <w:ind w:firstLineChars="0"/>
        <w:jc w:val="left"/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</w:pPr>
      <w:r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启发</w:t>
      </w:r>
      <w:r w:rsidR="007A471C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为</w:t>
      </w:r>
      <w:r w:rsidR="00617B87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人</w:t>
      </w:r>
      <w:r w:rsidR="00763739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相</w:t>
      </w:r>
      <w:r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人</w:t>
      </w:r>
      <w:r w:rsidR="00F73D5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用人</w:t>
      </w:r>
      <w:r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智慧</w:t>
      </w:r>
      <w:r w:rsidR="00617B87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，</w:t>
      </w:r>
      <w:r w:rsidR="00763739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提升</w:t>
      </w:r>
      <w:r w:rsidR="007A471C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情商智商</w:t>
      </w:r>
      <w:r w:rsidR="00F73D5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等综合管理能力</w:t>
      </w:r>
    </w:p>
    <w:p w:rsidR="005D60E5" w:rsidRPr="005D60E5" w:rsidRDefault="005D60E5" w:rsidP="005D60E5">
      <w:pPr>
        <w:pStyle w:val="a9"/>
        <w:widowControl/>
        <w:numPr>
          <w:ilvl w:val="0"/>
          <w:numId w:val="13"/>
        </w:numPr>
        <w:spacing w:line="440" w:lineRule="exact"/>
        <w:ind w:firstLineChars="0"/>
        <w:jc w:val="left"/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</w:pPr>
      <w:r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  <w:t>构建中西融合的识人用人体系，实现人才效能</w:t>
      </w:r>
      <w:r w:rsidRPr="005D60E5"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  <w:t>精准提升</w:t>
      </w:r>
    </w:p>
    <w:p w:rsidR="005D60E5" w:rsidRPr="005D60E5" w:rsidRDefault="005D60E5" w:rsidP="005D60E5">
      <w:pPr>
        <w:pStyle w:val="a9"/>
        <w:widowControl/>
        <w:numPr>
          <w:ilvl w:val="0"/>
          <w:numId w:val="13"/>
        </w:numPr>
        <w:spacing w:line="440" w:lineRule="exact"/>
        <w:ind w:firstLineChars="0"/>
        <w:jc w:val="left"/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</w:pPr>
      <w:r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  <w:t>把传统文化与现代管理相结合</w:t>
      </w:r>
      <w:r w:rsidRPr="005D60E5"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  <w:t>，推动组织</w:t>
      </w:r>
      <w:r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  <w:t>的</w:t>
      </w:r>
      <w:r w:rsidRPr="005D60E5"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  <w:t>可持续发展</w:t>
      </w:r>
    </w:p>
    <w:p w:rsidR="00072F2D" w:rsidRPr="00072F2D" w:rsidRDefault="00210908" w:rsidP="00210908">
      <w:pPr>
        <w:pStyle w:val="a8"/>
        <w:shd w:val="clear" w:color="auto" w:fill="FFFFFF"/>
        <w:tabs>
          <w:tab w:val="left" w:pos="3740"/>
        </w:tabs>
        <w:spacing w:before="0" w:beforeAutospacing="0" w:after="0" w:afterAutospacing="0" w:line="460" w:lineRule="exact"/>
        <w:rPr>
          <w:rFonts w:ascii="微软雅黑" w:eastAsia="微软雅黑" w:hAnsi="微软雅黑" w:cs="Arial"/>
          <w:color w:val="0D0D0D" w:themeColor="text1" w:themeTint="F2"/>
        </w:rPr>
      </w:pPr>
      <w:r w:rsidRPr="00832BEC">
        <w:rPr>
          <w:rFonts w:ascii="微软雅黑" w:eastAsia="微软雅黑" w:hAnsi="微软雅黑" w:hint="eastAsia"/>
          <w:b/>
          <w:bCs/>
          <w:color w:val="002060"/>
        </w:rPr>
        <w:t>课程时长：</w:t>
      </w:r>
      <w:r w:rsidR="00045AD5" w:rsidRPr="00072F2D">
        <w:rPr>
          <w:rFonts w:ascii="微软雅黑" w:eastAsia="微软雅黑" w:hAnsi="微软雅黑" w:cs="Arial" w:hint="eastAsia"/>
          <w:color w:val="0D0D0D" w:themeColor="text1" w:themeTint="F2"/>
        </w:rPr>
        <w:t>1</w:t>
      </w:r>
      <w:r w:rsidR="001505E7">
        <w:rPr>
          <w:rFonts w:ascii="微软雅黑" w:eastAsia="微软雅黑" w:hAnsi="微软雅黑" w:cs="Arial" w:hint="eastAsia"/>
          <w:color w:val="0D0D0D" w:themeColor="text1" w:themeTint="F2"/>
        </w:rPr>
        <w:t>—2天（每天</w:t>
      </w:r>
      <w:r w:rsidRPr="00072F2D">
        <w:rPr>
          <w:rFonts w:ascii="微软雅黑" w:eastAsia="微软雅黑" w:hAnsi="微软雅黑" w:cs="Arial"/>
          <w:color w:val="0D0D0D" w:themeColor="text1" w:themeTint="F2"/>
        </w:rPr>
        <w:t>6</w:t>
      </w:r>
      <w:r w:rsidRPr="00072F2D">
        <w:rPr>
          <w:rFonts w:ascii="微软雅黑" w:eastAsia="微软雅黑" w:hAnsi="微软雅黑" w:cs="Arial" w:hint="eastAsia"/>
          <w:color w:val="0D0D0D" w:themeColor="text1" w:themeTint="F2"/>
        </w:rPr>
        <w:t>小时</w:t>
      </w:r>
      <w:r w:rsidR="001505E7">
        <w:rPr>
          <w:rFonts w:ascii="微软雅黑" w:eastAsia="微软雅黑" w:hAnsi="微软雅黑" w:cs="Arial" w:hint="eastAsia"/>
          <w:color w:val="0D0D0D" w:themeColor="text1" w:themeTint="F2"/>
        </w:rPr>
        <w:t>）</w:t>
      </w:r>
    </w:p>
    <w:p w:rsidR="00210908" w:rsidRPr="00072F2D" w:rsidRDefault="00210908" w:rsidP="00210908">
      <w:pPr>
        <w:pStyle w:val="a8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Arial"/>
          <w:b/>
          <w:color w:val="0D0D0D" w:themeColor="text1" w:themeTint="F2"/>
        </w:rPr>
      </w:pPr>
      <w:r w:rsidRPr="00832BEC">
        <w:rPr>
          <w:rFonts w:ascii="微软雅黑" w:eastAsia="微软雅黑" w:hAnsi="微软雅黑" w:hint="eastAsia"/>
          <w:b/>
          <w:bCs/>
          <w:color w:val="002060"/>
        </w:rPr>
        <w:t>授课</w:t>
      </w:r>
      <w:r w:rsidRPr="00832BEC">
        <w:rPr>
          <w:rFonts w:ascii="微软雅黑" w:eastAsia="微软雅黑" w:hAnsi="微软雅黑"/>
          <w:b/>
          <w:bCs/>
          <w:color w:val="002060"/>
        </w:rPr>
        <w:t>对象</w:t>
      </w:r>
      <w:r w:rsidRPr="00832BEC">
        <w:rPr>
          <w:rFonts w:ascii="微软雅黑" w:eastAsia="微软雅黑" w:hAnsi="微软雅黑" w:hint="eastAsia"/>
          <w:b/>
          <w:bCs/>
          <w:color w:val="002060"/>
        </w:rPr>
        <w:t>：</w:t>
      </w:r>
      <w:r w:rsidRPr="00072F2D">
        <w:rPr>
          <w:rFonts w:ascii="微软雅黑" w:eastAsia="微软雅黑" w:hAnsi="微软雅黑" w:cs="Arial" w:hint="eastAsia"/>
          <w:color w:val="0D0D0D" w:themeColor="text1" w:themeTint="F2"/>
        </w:rPr>
        <w:t>总裁班、国学班、领导干部</w:t>
      </w:r>
      <w:r w:rsidR="0035264B">
        <w:rPr>
          <w:rFonts w:ascii="微软雅黑" w:eastAsia="微软雅黑" w:hAnsi="微软雅黑" w:cs="Arial" w:hint="eastAsia"/>
          <w:color w:val="0D0D0D" w:themeColor="text1" w:themeTint="F2"/>
        </w:rPr>
        <w:t>研修班、管理能力提升班</w:t>
      </w:r>
    </w:p>
    <w:p w:rsidR="00655201" w:rsidRPr="00072F2D" w:rsidRDefault="00655201" w:rsidP="00304CDB">
      <w:pPr>
        <w:widowControl/>
        <w:spacing w:line="440" w:lineRule="exact"/>
        <w:jc w:val="left"/>
        <w:rPr>
          <w:rFonts w:ascii="微软雅黑" w:eastAsia="微软雅黑" w:hAnsi="微软雅黑" w:cs="仿宋"/>
          <w:bCs/>
          <w:color w:val="0D0D0D" w:themeColor="text1" w:themeTint="F2"/>
          <w:kern w:val="0"/>
          <w:sz w:val="24"/>
          <w:szCs w:val="24"/>
        </w:rPr>
      </w:pPr>
    </w:p>
    <w:p w:rsidR="00304CDB" w:rsidRPr="00832BEC" w:rsidRDefault="009A4E3E" w:rsidP="00655201">
      <w:pPr>
        <w:widowControl/>
        <w:spacing w:line="440" w:lineRule="exact"/>
        <w:jc w:val="center"/>
        <w:rPr>
          <w:rFonts w:ascii="微软雅黑" w:eastAsia="微软雅黑" w:hAnsi="微软雅黑" w:cs="仿宋"/>
          <w:b/>
          <w:bCs/>
          <w:color w:val="002060"/>
          <w:kern w:val="0"/>
          <w:sz w:val="28"/>
          <w:szCs w:val="28"/>
        </w:rPr>
      </w:pPr>
      <w:r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课</w:t>
      </w:r>
      <w:r w:rsidR="00072F2D"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 xml:space="preserve"> </w:t>
      </w:r>
      <w:r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程</w:t>
      </w:r>
      <w:r w:rsidR="00072F2D"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 xml:space="preserve"> </w:t>
      </w:r>
      <w:r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大</w:t>
      </w:r>
      <w:r w:rsidR="00072F2D"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 xml:space="preserve"> </w:t>
      </w:r>
      <w:r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纲</w:t>
      </w:r>
    </w:p>
    <w:p w:rsidR="009F6FA8" w:rsidRDefault="007821A1" w:rsidP="007821A1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7821A1">
        <w:rPr>
          <w:rFonts w:ascii="微软雅黑" w:eastAsia="微软雅黑" w:hAnsi="微软雅黑" w:hint="eastAsia"/>
          <w:b/>
          <w:bCs/>
          <w:color w:val="002060"/>
        </w:rPr>
        <w:t>一、</w:t>
      </w:r>
      <w:r w:rsidR="009F6FA8" w:rsidRPr="007821A1">
        <w:rPr>
          <w:rFonts w:ascii="微软雅黑" w:eastAsia="微软雅黑" w:hAnsi="微软雅黑" w:hint="eastAsia"/>
          <w:b/>
          <w:bCs/>
          <w:color w:val="002060"/>
        </w:rPr>
        <w:t>曾国藩的为人之道：修己安人的领导力基石</w:t>
      </w:r>
    </w:p>
    <w:p w:rsidR="007736A9" w:rsidRDefault="00EB714C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1、人生经不得三境：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顺境、闲境、逆境</w:t>
      </w:r>
      <w:r w:rsidR="007736A9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（职业规划与职场成长）</w:t>
      </w:r>
    </w:p>
    <w:p w:rsidR="00EB714C" w:rsidRDefault="00EB714C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2、一生三变：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儒修身，法建功，道处世</w:t>
      </w:r>
      <w:r w:rsidR="007736A9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（管理</w:t>
      </w:r>
      <w:r w:rsid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风格</w:t>
      </w:r>
      <w:r w:rsidR="007736A9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与领导艺术）</w:t>
      </w:r>
    </w:p>
    <w:p w:rsidR="00EB714C" w:rsidRDefault="007736A9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3、忠字诀：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谋国之忠，左宗棠自愧不如（职业素养与人设标签）</w:t>
      </w:r>
    </w:p>
    <w:p w:rsidR="00EB714C" w:rsidRDefault="007736A9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4、诚字诀：</w:t>
      </w:r>
      <w:r w:rsidR="00B31599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驭将最贵推诚，不贵权与术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（</w:t>
      </w:r>
      <w:r w:rsidR="00B31599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做人做事</w:t>
      </w:r>
      <w:r w:rsid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做管理心法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）</w:t>
      </w:r>
    </w:p>
    <w:p w:rsidR="00B31599" w:rsidRDefault="00B31599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5、勤字诀：</w:t>
      </w:r>
      <w:r w:rsid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天道酬勤，一勤天下无难事（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战胜</w:t>
      </w:r>
      <w:r w:rsid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职场的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惰怠躺平）</w:t>
      </w:r>
    </w:p>
    <w:p w:rsidR="00B31599" w:rsidRDefault="00B31599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6、省字诀：</w:t>
      </w:r>
      <w:r w:rsidR="007927E1" w:rsidRP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君子求诸己，</w:t>
      </w:r>
      <w:r w:rsid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学曾氏常</w:t>
      </w:r>
      <w:r w:rsidR="007927E1" w:rsidRP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反省</w:t>
      </w:r>
      <w:r w:rsid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（职业化的成长与进阶）</w:t>
      </w:r>
    </w:p>
    <w:p w:rsidR="0013072C" w:rsidRDefault="0013072C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7、戒字诀：</w:t>
      </w:r>
      <w:r w:rsid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曾氏戒言戒语戒色等戒恶习（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管理者</w:t>
      </w:r>
      <w:r w:rsid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的自律与自驱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）</w:t>
      </w:r>
    </w:p>
    <w:p w:rsidR="0013072C" w:rsidRDefault="0013072C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8、廉字诀：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晚清贪腐官场中的一股清流（</w:t>
      </w:r>
      <w:r w:rsidR="007927E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领导干部的廉洁教育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）</w:t>
      </w:r>
    </w:p>
    <w:p w:rsidR="004B72F0" w:rsidRPr="009F6FA8" w:rsidRDefault="0013072C" w:rsidP="004B72F0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9、</w:t>
      </w:r>
      <w:r w:rsidR="004B72F0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忍字诀：</w:t>
      </w:r>
      <w:r w:rsidR="004B72F0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《挺经》好汉打脱牙和血吞（</w:t>
      </w:r>
      <w:r w:rsidR="004B72F0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逆境商数与担当精神</w:t>
      </w:r>
      <w:r w:rsidR="004B72F0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）</w:t>
      </w:r>
    </w:p>
    <w:p w:rsidR="00316E32" w:rsidRPr="009F6FA8" w:rsidRDefault="00316E32" w:rsidP="00316E32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10、自立立人：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曾氏组建幕府为晚清续命（</w:t>
      </w:r>
      <w:r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终极目标是成就团队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）</w:t>
      </w:r>
    </w:p>
    <w:p w:rsidR="00316E32" w:rsidRPr="009F6FA8" w:rsidRDefault="00316E32" w:rsidP="00316E32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11、功成身退：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流水高山心自知（组织不同</w:t>
      </w:r>
      <w:r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阶段的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自我</w:t>
      </w:r>
      <w:r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角色转换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）</w:t>
      </w:r>
    </w:p>
    <w:p w:rsidR="00316E32" w:rsidRDefault="00316E32" w:rsidP="00316E32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12、家风传承</w:t>
      </w:r>
      <w:r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：</w:t>
      </w:r>
      <w:r w:rsidR="00271A59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曾氏的修齐治平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（个人修为转化为优秀</w:t>
      </w:r>
      <w:r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组织文化</w:t>
      </w:r>
      <w:r w:rsidR="00271A59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）</w:t>
      </w:r>
    </w:p>
    <w:p w:rsidR="009F6FA8" w:rsidRPr="00072F2D" w:rsidRDefault="009F6FA8" w:rsidP="009F6FA8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="004B72F0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解读曾国藩的日课十二条</w:t>
      </w:r>
    </w:p>
    <w:p w:rsidR="004B72F0" w:rsidRPr="004B72F0" w:rsidRDefault="009F6FA8" w:rsidP="004B72F0">
      <w:pPr>
        <w:spacing w:line="440" w:lineRule="exact"/>
        <w:rPr>
          <w:rFonts w:ascii="微软雅黑" w:eastAsia="微软雅黑" w:hAnsi="微软雅黑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="0050583D" w:rsidRPr="0050583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如何</w:t>
      </w:r>
      <w:r w:rsidR="004B72F0" w:rsidRPr="0050583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十年七迁，连跃十</w:t>
      </w:r>
      <w:r w:rsidR="004B72F0" w:rsidRPr="004B72F0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 xml:space="preserve">级 </w:t>
      </w:r>
    </w:p>
    <w:p w:rsidR="009F6FA8" w:rsidRPr="00072F2D" w:rsidRDefault="009F6FA8" w:rsidP="009F6FA8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="0050583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左宗棠与曾国藩的双簧戏</w:t>
      </w:r>
    </w:p>
    <w:p w:rsidR="009F6FA8" w:rsidRPr="009F6FA8" w:rsidRDefault="0050583D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50583D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任正非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的低调哲学领导力</w:t>
      </w:r>
    </w:p>
    <w:p w:rsidR="009F6FA8" w:rsidRPr="009F6FA8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</w:p>
    <w:p w:rsidR="009F6FA8" w:rsidRPr="0050583D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50583D">
        <w:rPr>
          <w:rFonts w:ascii="微软雅黑" w:eastAsia="微软雅黑" w:hAnsi="微软雅黑" w:hint="eastAsia"/>
          <w:b/>
          <w:bCs/>
          <w:color w:val="002060"/>
        </w:rPr>
        <w:t>二、曾国藩的相人之术：甄辨人才的科学与艺术</w:t>
      </w:r>
    </w:p>
    <w:p w:rsidR="005E10F5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1、</w:t>
      </w:r>
      <w:r w:rsidR="005E10F5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管理必修课：</w:t>
      </w:r>
      <w:r w:rsidR="005E10F5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管人首在用人，用人首在相人</w:t>
      </w:r>
    </w:p>
    <w:p w:rsidR="005E10F5" w:rsidRDefault="005E10F5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2、曾氏与冰鉴：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冰鉴的真与伪，相人以何为师</w:t>
      </w:r>
    </w:p>
    <w:p w:rsidR="005E10F5" w:rsidRDefault="005E10F5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3、成败看面相：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望闻问切，曾氏第一印象七看</w:t>
      </w:r>
    </w:p>
    <w:p w:rsidR="009F6FA8" w:rsidRPr="009F6FA8" w:rsidRDefault="005E10F5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4、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整体相鉴：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神骨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为先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，由表及里综合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考察法</w:t>
      </w:r>
    </w:p>
    <w:p w:rsidR="009F6FA8" w:rsidRPr="009F6FA8" w:rsidRDefault="005E10F5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5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、动静结合：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通过声音与气色观察候选人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状态</w:t>
      </w:r>
    </w:p>
    <w:p w:rsidR="009F6FA8" w:rsidRPr="009F6FA8" w:rsidRDefault="005E10F5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lastRenderedPageBreak/>
        <w:t>6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、五官识微：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面相特征与性格特质的关联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启示</w:t>
      </w:r>
    </w:p>
    <w:p w:rsidR="009F6FA8" w:rsidRPr="009F6FA8" w:rsidRDefault="005E10F5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7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、三停定位：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上中下三停理论与人才潜力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评估</w:t>
      </w:r>
    </w:p>
    <w:p w:rsidR="009F6FA8" w:rsidRPr="009F6FA8" w:rsidRDefault="00FE3D6F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8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、十二宫解析：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十二宫在关键岗位用人风险中的提示</w:t>
      </w:r>
    </w:p>
    <w:p w:rsidR="009F6FA8" w:rsidRPr="009F6FA8" w:rsidRDefault="00FE3D6F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9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、眼神定格局：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七种眼神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洞悉下属的忠诚度与可塑性</w:t>
      </w:r>
    </w:p>
    <w:p w:rsidR="009F6FA8" w:rsidRPr="009F6FA8" w:rsidRDefault="00FE3D6F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10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、言语见虚实：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从言语模式判断一个人的逻辑与心性</w:t>
      </w:r>
    </w:p>
    <w:p w:rsidR="009F6FA8" w:rsidRPr="009F6FA8" w:rsidRDefault="00FE3D6F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11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、行为辨真伪：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在具体事务中观察其行为动机与能力</w:t>
      </w:r>
    </w:p>
    <w:p w:rsidR="009F6FA8" w:rsidRPr="009F6FA8" w:rsidRDefault="00FE3D6F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12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、细节观习性：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办公桌整理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等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小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细节背后的管理价值</w:t>
      </w:r>
    </w:p>
    <w:p w:rsidR="009F6FA8" w:rsidRPr="009F6FA8" w:rsidRDefault="00FE3D6F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13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</w:t>
      </w: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七失法识人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：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刻意在压力情境下测试候选人的抗压能力</w:t>
      </w:r>
    </w:p>
    <w:p w:rsidR="009F6FA8" w:rsidRPr="009F6FA8" w:rsidRDefault="00FE3D6F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14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</w:t>
      </w: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八观法识人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如何通过利与义、善与恶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的抉择考察人品</w:t>
      </w:r>
    </w:p>
    <w:p w:rsidR="009F6FA8" w:rsidRPr="009F6FA8" w:rsidRDefault="00FE3D6F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15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、</w:t>
      </w: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九征法识人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：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学习曾氏面试法</w:t>
      </w:r>
      <w:r w:rsidR="009F6FA8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，建立人才动态评估档案</w:t>
      </w:r>
    </w:p>
    <w:p w:rsidR="009F6FA8" w:rsidRPr="009F6FA8" w:rsidRDefault="005E10F5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FE3D6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="00FE3D6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揭秘曾氏准确预测江忠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源</w:t>
      </w:r>
    </w:p>
    <w:p w:rsidR="009F6FA8" w:rsidRPr="00072F2D" w:rsidRDefault="009F6FA8" w:rsidP="009F6FA8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李鸿裔性格以及命运结局</w:t>
      </w:r>
    </w:p>
    <w:p w:rsidR="009F6FA8" w:rsidRPr="009F6FA8" w:rsidRDefault="009F6FA8" w:rsidP="009F6FA8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曾国藩给慈禧和奕䜣相面</w:t>
      </w:r>
    </w:p>
    <w:p w:rsidR="009F6FA8" w:rsidRPr="009F6FA8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</w:p>
    <w:p w:rsidR="009F6FA8" w:rsidRPr="00A1004F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A1004F">
        <w:rPr>
          <w:rFonts w:ascii="微软雅黑" w:eastAsia="微软雅黑" w:hAnsi="微软雅黑" w:hint="eastAsia"/>
          <w:b/>
          <w:bCs/>
          <w:color w:val="002060"/>
        </w:rPr>
        <w:t>三、曾国藩的用人之法：组织效能的激活与升华</w:t>
      </w:r>
    </w:p>
    <w:p w:rsidR="009F6FA8" w:rsidRPr="00067547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1、</w:t>
      </w:r>
      <w:r w:rsidR="00067547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人才战略</w:t>
      </w: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：</w:t>
      </w:r>
      <w:r w:rsidR="00067547" w:rsidRPr="00067547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天下为笼，</w:t>
      </w:r>
      <w:r w:rsidR="00DF3302" w:rsidRPr="00067547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广收</w:t>
      </w:r>
      <w:r w:rsidR="00067547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，慎用，勤教，</w:t>
      </w:r>
      <w:r w:rsidRPr="00067547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严绳</w:t>
      </w:r>
    </w:p>
    <w:p w:rsidR="009F6FA8" w:rsidRPr="009F6FA8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2、文化凝聚：</w:t>
      </w:r>
      <w:r w:rsidR="00067547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胜则举杯酒同庆，败则拼死</w:t>
      </w:r>
      <w:r w:rsidR="00B61246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力以</w:t>
      </w:r>
      <w:r w:rsidR="00067547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相救</w:t>
      </w:r>
    </w:p>
    <w:p w:rsidR="009F6FA8" w:rsidRPr="0081491C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3、</w:t>
      </w:r>
      <w:r w:rsidR="0081491C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用人三境</w:t>
      </w: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：</w:t>
      </w:r>
      <w:r w:rsidR="0081491C" w:rsidRPr="0081491C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用师者王，用友者霸，用徒者亡</w:t>
      </w:r>
    </w:p>
    <w:p w:rsidR="009F6FA8" w:rsidRPr="009F6FA8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4、文职四要：</w:t>
      </w:r>
      <w:r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选拔管理型人才的四个核心维度</w:t>
      </w:r>
    </w:p>
    <w:p w:rsidR="009F6FA8" w:rsidRPr="009F6FA8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5、武职四法：</w:t>
      </w:r>
      <w:r w:rsidR="0081491C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选拔开拓型</w:t>
      </w:r>
      <w:r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人才的四个关键标准</w:t>
      </w:r>
    </w:p>
    <w:p w:rsidR="009F6FA8" w:rsidRPr="009F6FA8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6、扬长避短：</w:t>
      </w:r>
      <w:r w:rsidR="00A0431E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良将无弃材，明主无弃士的</w:t>
      </w:r>
      <w:r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艺术</w:t>
      </w:r>
    </w:p>
    <w:p w:rsidR="009F6FA8" w:rsidRPr="009F6FA8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7、培育之道：</w:t>
      </w:r>
      <w:r w:rsidR="00A0431E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师友夹持与现代企业导师制</w:t>
      </w:r>
      <w:r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融合</w:t>
      </w:r>
    </w:p>
    <w:p w:rsidR="009F6FA8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8、激励之术：</w:t>
      </w:r>
      <w:r w:rsidR="00A0431E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名利双行、物质精神并重的激励</w:t>
      </w:r>
    </w:p>
    <w:p w:rsidR="00B61246" w:rsidRDefault="00B61246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Cs/>
          <w:color w:val="0D0D0D" w:themeColor="text1" w:themeTint="F2"/>
          <w:kern w:val="28"/>
          <w:lang w:bidi="he-IL"/>
        </w:rPr>
      </w:pPr>
      <w:r w:rsidRPr="00B61246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9、</w:t>
      </w:r>
      <w:r w:rsidRPr="00B61246">
        <w:rPr>
          <w:rFonts w:ascii="微软雅黑" w:eastAsia="微软雅黑" w:hAnsi="微软雅黑" w:cs="Times New Roman" w:hint="eastAsia"/>
          <w:b/>
          <w:bCs/>
          <w:color w:val="0D0D0D" w:themeColor="text1" w:themeTint="F2"/>
          <w:kern w:val="28"/>
          <w:lang w:bidi="he-IL"/>
        </w:rPr>
        <w:t>御下之策：</w:t>
      </w:r>
      <w:r>
        <w:rPr>
          <w:rFonts w:ascii="微软雅黑" w:eastAsia="微软雅黑" w:hAnsi="微软雅黑" w:cs="Times New Roman" w:hint="eastAsia"/>
          <w:bCs/>
          <w:color w:val="0D0D0D" w:themeColor="text1" w:themeTint="F2"/>
          <w:kern w:val="28"/>
          <w:lang w:bidi="he-IL"/>
        </w:rPr>
        <w:t>奖惩</w:t>
      </w:r>
      <w:r w:rsidRPr="00B61246">
        <w:rPr>
          <w:rFonts w:ascii="微软雅黑" w:eastAsia="微软雅黑" w:hAnsi="微软雅黑" w:cs="Times New Roman" w:hint="eastAsia"/>
          <w:bCs/>
          <w:color w:val="0D0D0D" w:themeColor="text1" w:themeTint="F2"/>
          <w:kern w:val="28"/>
          <w:lang w:bidi="he-IL"/>
        </w:rPr>
        <w:t>要扬善于公庭，规过于私室</w:t>
      </w:r>
    </w:p>
    <w:p w:rsidR="00B61246" w:rsidRPr="00B61246" w:rsidRDefault="00114CFC" w:rsidP="00B61246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Cs/>
          <w:color w:val="0D0D0D" w:themeColor="text1" w:themeTint="F2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bCs/>
          <w:color w:val="0D0D0D" w:themeColor="text1" w:themeTint="F2"/>
          <w:kern w:val="28"/>
          <w:lang w:bidi="he-IL"/>
        </w:rPr>
        <w:t>10</w:t>
      </w:r>
      <w:r w:rsidR="00B61246" w:rsidRPr="00B61246">
        <w:rPr>
          <w:rFonts w:ascii="微软雅黑" w:eastAsia="微软雅黑" w:hAnsi="微软雅黑" w:cs="Times New Roman" w:hint="eastAsia"/>
          <w:b/>
          <w:bCs/>
          <w:color w:val="0D0D0D" w:themeColor="text1" w:themeTint="F2"/>
          <w:kern w:val="28"/>
          <w:lang w:bidi="he-IL"/>
        </w:rPr>
        <w:t>、留人之机：</w:t>
      </w:r>
      <w:r w:rsidR="00B61246">
        <w:rPr>
          <w:rFonts w:ascii="微软雅黑" w:eastAsia="微软雅黑" w:hAnsi="微软雅黑" w:cs="Times New Roman" w:hint="eastAsia"/>
          <w:bCs/>
          <w:color w:val="0D0D0D" w:themeColor="text1" w:themeTint="F2"/>
          <w:kern w:val="28"/>
          <w:lang w:bidi="he-IL"/>
        </w:rPr>
        <w:t>为帅要</w:t>
      </w:r>
      <w:r w:rsidR="00B61246" w:rsidRPr="00B61246">
        <w:rPr>
          <w:rFonts w:ascii="微软雅黑" w:eastAsia="微软雅黑" w:hAnsi="微软雅黑" w:cs="Times New Roman" w:hint="eastAsia"/>
          <w:bCs/>
          <w:color w:val="0D0D0D" w:themeColor="text1" w:themeTint="F2"/>
          <w:kern w:val="28"/>
          <w:lang w:bidi="he-IL"/>
        </w:rPr>
        <w:t xml:space="preserve">尽众人之私，成一人之公 </w:t>
      </w:r>
    </w:p>
    <w:p w:rsidR="00CC39E2" w:rsidRPr="00A32A2A" w:rsidRDefault="009F6FA8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11、</w:t>
      </w:r>
      <w:r w:rsidR="00CC39E2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因材施教：</w:t>
      </w:r>
      <w:r w:rsidR="00CC39E2" w:rsidRPr="00A32A2A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将贵智，</w:t>
      </w:r>
      <w:r w:rsidR="00A32A2A" w:rsidRPr="00A32A2A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兵贵愚，</w:t>
      </w:r>
      <w:r w:rsidR="00A32A2A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区别</w:t>
      </w:r>
      <w:r w:rsidR="00A32A2A" w:rsidRPr="00A32A2A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高明卑琐</w:t>
      </w:r>
    </w:p>
    <w:p w:rsidR="00114CFC" w:rsidRPr="00114CFC" w:rsidRDefault="00CC39E2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Cs/>
          <w:color w:val="0D0D0D" w:themeColor="text1" w:themeTint="F2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12、</w:t>
      </w:r>
      <w:r w:rsidR="00A32A2A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梯队</w:t>
      </w:r>
      <w:r w:rsidR="009F6FA8" w:rsidRPr="00A1004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传承：</w:t>
      </w:r>
      <w:r w:rsidR="00114CFC" w:rsidRPr="00114CFC">
        <w:rPr>
          <w:rFonts w:ascii="微软雅黑" w:eastAsia="微软雅黑" w:hAnsi="微软雅黑" w:cs="Times New Roman" w:hint="eastAsia"/>
          <w:bCs/>
          <w:color w:val="0D0D0D" w:themeColor="text1" w:themeTint="F2"/>
          <w:kern w:val="28"/>
          <w:lang w:bidi="he-IL"/>
        </w:rPr>
        <w:t>举贤图大业，要盛世安排接班人</w:t>
      </w:r>
    </w:p>
    <w:p w:rsidR="00F470A6" w:rsidRPr="009F6FA8" w:rsidRDefault="007427A1" w:rsidP="009F6FA8">
      <w:pPr>
        <w:pStyle w:val="a8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DF3302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="00A5782F" w:rsidRPr="009F6FA8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曾国藩</w:t>
      </w:r>
      <w:r w:rsidR="00A32A2A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</w:t>
      </w:r>
      <w:r w:rsidR="00C42912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幕府英雄榜</w:t>
      </w:r>
    </w:p>
    <w:p w:rsidR="00471BA4" w:rsidRPr="00072F2D" w:rsidRDefault="00E20BC3" w:rsidP="009A74AD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9A74A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="00DF3302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华为</w:t>
      </w:r>
      <w:r w:rsidR="00A32A2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天才少年招募令</w:t>
      </w:r>
    </w:p>
    <w:p w:rsidR="00517476" w:rsidRPr="00433140" w:rsidRDefault="00D614C8" w:rsidP="00433140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9A74A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="003400E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李秀成</w:t>
      </w:r>
      <w:r w:rsidR="00A32A2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供述</w:t>
      </w:r>
      <w:r w:rsidR="00AD3B34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用人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失误</w:t>
      </w:r>
    </w:p>
    <w:sectPr w:rsidR="00517476" w:rsidRPr="00433140" w:rsidSect="005F5051">
      <w:footerReference w:type="default" r:id="rId8"/>
      <w:type w:val="continuous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D7A" w:rsidRDefault="00F56D7A">
      <w:r>
        <w:separator/>
      </w:r>
    </w:p>
  </w:endnote>
  <w:endnote w:type="continuationSeparator" w:id="1">
    <w:p w:rsidR="00F56D7A" w:rsidRDefault="00F56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85" w:rsidRDefault="00530485">
    <w:pPr>
      <w:pStyle w:val="aa"/>
      <w:jc w:val="center"/>
    </w:pPr>
    <w:r>
      <w:rPr>
        <w:lang w:val="zh-CN"/>
      </w:rPr>
      <w:t xml:space="preserve"> </w:t>
    </w:r>
    <w:r w:rsidR="00144D5E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44D5E">
      <w:rPr>
        <w:b/>
        <w:bCs/>
        <w:sz w:val="24"/>
        <w:szCs w:val="24"/>
      </w:rPr>
      <w:fldChar w:fldCharType="separate"/>
    </w:r>
    <w:r w:rsidR="00433140">
      <w:rPr>
        <w:b/>
        <w:bCs/>
        <w:noProof/>
      </w:rPr>
      <w:t>3</w:t>
    </w:r>
    <w:r w:rsidR="00144D5E"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 w:rsidR="00144D5E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144D5E">
      <w:rPr>
        <w:b/>
        <w:bCs/>
        <w:sz w:val="24"/>
        <w:szCs w:val="24"/>
      </w:rPr>
      <w:fldChar w:fldCharType="separate"/>
    </w:r>
    <w:r w:rsidR="00433140">
      <w:rPr>
        <w:b/>
        <w:bCs/>
        <w:noProof/>
      </w:rPr>
      <w:t>3</w:t>
    </w:r>
    <w:r w:rsidR="00144D5E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D7A" w:rsidRDefault="00F56D7A">
      <w:r>
        <w:separator/>
      </w:r>
    </w:p>
  </w:footnote>
  <w:footnote w:type="continuationSeparator" w:id="1">
    <w:p w:rsidR="00F56D7A" w:rsidRDefault="00F56D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C2B40840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4"/>
      </w:rPr>
    </w:lvl>
  </w:abstractNum>
  <w:abstractNum w:abstractNumId="1">
    <w:nsid w:val="00000007"/>
    <w:multiLevelType w:val="singleLevel"/>
    <w:tmpl w:val="00000007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00000009"/>
    <w:multiLevelType w:val="multilevel"/>
    <w:tmpl w:val="A9BC1056"/>
    <w:lvl w:ilvl="0">
      <w:start w:val="1"/>
      <w:numFmt w:val="decimal"/>
      <w:lvlText w:val="%1、"/>
      <w:lvlJc w:val="left"/>
      <w:pPr>
        <w:ind w:left="420" w:hanging="420"/>
      </w:pPr>
      <w:rPr>
        <w:rFonts w:ascii="宋体" w:eastAsia="宋体" w:hAnsi="宋体" w:cs="仿宋"/>
        <w:sz w:val="24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000000C"/>
    <w:multiLevelType w:val="singleLevel"/>
    <w:tmpl w:val="0000000C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0000000F"/>
    <w:multiLevelType w:val="singleLevel"/>
    <w:tmpl w:val="0000000F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5">
    <w:nsid w:val="084A2143"/>
    <w:multiLevelType w:val="hybridMultilevel"/>
    <w:tmpl w:val="6654297E"/>
    <w:lvl w:ilvl="0" w:tplc="50EABBD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9CB711B"/>
    <w:multiLevelType w:val="hybridMultilevel"/>
    <w:tmpl w:val="DBC81590"/>
    <w:lvl w:ilvl="0" w:tplc="C1E61E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B074DF6"/>
    <w:multiLevelType w:val="hybridMultilevel"/>
    <w:tmpl w:val="450C5918"/>
    <w:lvl w:ilvl="0" w:tplc="86FAAE3A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="仿宋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3EE33E4"/>
    <w:multiLevelType w:val="hybridMultilevel"/>
    <w:tmpl w:val="AEC092DC"/>
    <w:lvl w:ilvl="0" w:tplc="631452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4B45D9B"/>
    <w:multiLevelType w:val="multilevel"/>
    <w:tmpl w:val="AF480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862472"/>
    <w:multiLevelType w:val="hybridMultilevel"/>
    <w:tmpl w:val="6214273C"/>
    <w:lvl w:ilvl="0" w:tplc="051A26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0270973"/>
    <w:multiLevelType w:val="hybridMultilevel"/>
    <w:tmpl w:val="5AAE617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14A0CF8"/>
    <w:multiLevelType w:val="hybridMultilevel"/>
    <w:tmpl w:val="639A6C0A"/>
    <w:lvl w:ilvl="0" w:tplc="00000006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ADB0ECB"/>
    <w:multiLevelType w:val="hybridMultilevel"/>
    <w:tmpl w:val="512A1020"/>
    <w:lvl w:ilvl="0" w:tplc="0E2ADB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BF13DB3"/>
    <w:multiLevelType w:val="hybridMultilevel"/>
    <w:tmpl w:val="040233DA"/>
    <w:lvl w:ilvl="0" w:tplc="39A2713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50E6972"/>
    <w:multiLevelType w:val="singleLevel"/>
    <w:tmpl w:val="E04C4224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4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3"/>
  </w:num>
  <w:num w:numId="5">
    <w:abstractNumId w:val="4"/>
  </w:num>
  <w:num w:numId="6">
    <w:abstractNumId w:val="1"/>
  </w:num>
  <w:num w:numId="7">
    <w:abstractNumId w:val="12"/>
  </w:num>
  <w:num w:numId="8">
    <w:abstractNumId w:val="11"/>
  </w:num>
  <w:num w:numId="9">
    <w:abstractNumId w:val="5"/>
  </w:num>
  <w:num w:numId="10">
    <w:abstractNumId w:val="13"/>
  </w:num>
  <w:num w:numId="11">
    <w:abstractNumId w:val="10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1207"/>
    <w:rsid w:val="00012F5D"/>
    <w:rsid w:val="000141E2"/>
    <w:rsid w:val="0003348C"/>
    <w:rsid w:val="0003585B"/>
    <w:rsid w:val="00043BFC"/>
    <w:rsid w:val="00045AD5"/>
    <w:rsid w:val="00046A36"/>
    <w:rsid w:val="00046D73"/>
    <w:rsid w:val="00053A7E"/>
    <w:rsid w:val="0005561E"/>
    <w:rsid w:val="000629BE"/>
    <w:rsid w:val="0006365C"/>
    <w:rsid w:val="00067547"/>
    <w:rsid w:val="00072F2D"/>
    <w:rsid w:val="00075F94"/>
    <w:rsid w:val="000765B8"/>
    <w:rsid w:val="00077DC4"/>
    <w:rsid w:val="000819E7"/>
    <w:rsid w:val="0009103D"/>
    <w:rsid w:val="00095BF1"/>
    <w:rsid w:val="00097689"/>
    <w:rsid w:val="00097F66"/>
    <w:rsid w:val="000A0AA7"/>
    <w:rsid w:val="000A0D22"/>
    <w:rsid w:val="000A2BEF"/>
    <w:rsid w:val="000A5C95"/>
    <w:rsid w:val="000B1B51"/>
    <w:rsid w:val="000B67CF"/>
    <w:rsid w:val="000B6F76"/>
    <w:rsid w:val="000C69E0"/>
    <w:rsid w:val="000D036A"/>
    <w:rsid w:val="000F2029"/>
    <w:rsid w:val="000F454A"/>
    <w:rsid w:val="00102DDA"/>
    <w:rsid w:val="00105A56"/>
    <w:rsid w:val="001130E0"/>
    <w:rsid w:val="00114CFC"/>
    <w:rsid w:val="00115B67"/>
    <w:rsid w:val="0013072C"/>
    <w:rsid w:val="00130A3A"/>
    <w:rsid w:val="001321D5"/>
    <w:rsid w:val="00144D5E"/>
    <w:rsid w:val="00145801"/>
    <w:rsid w:val="00145D6A"/>
    <w:rsid w:val="00147888"/>
    <w:rsid w:val="001505E7"/>
    <w:rsid w:val="00150A68"/>
    <w:rsid w:val="00157754"/>
    <w:rsid w:val="00170008"/>
    <w:rsid w:val="001719A9"/>
    <w:rsid w:val="00171B3E"/>
    <w:rsid w:val="00172A27"/>
    <w:rsid w:val="001732E4"/>
    <w:rsid w:val="0017362F"/>
    <w:rsid w:val="00177080"/>
    <w:rsid w:val="0019744A"/>
    <w:rsid w:val="001A138E"/>
    <w:rsid w:val="001A3832"/>
    <w:rsid w:val="001A67CF"/>
    <w:rsid w:val="001C617D"/>
    <w:rsid w:val="001D6208"/>
    <w:rsid w:val="001F020C"/>
    <w:rsid w:val="001F1E78"/>
    <w:rsid w:val="001F276D"/>
    <w:rsid w:val="001F39C6"/>
    <w:rsid w:val="001F6C3A"/>
    <w:rsid w:val="002018BE"/>
    <w:rsid w:val="00202050"/>
    <w:rsid w:val="00203B30"/>
    <w:rsid w:val="00210908"/>
    <w:rsid w:val="002128EE"/>
    <w:rsid w:val="00212E57"/>
    <w:rsid w:val="00217C92"/>
    <w:rsid w:val="00251C3B"/>
    <w:rsid w:val="00252BF2"/>
    <w:rsid w:val="00267BA2"/>
    <w:rsid w:val="00271A59"/>
    <w:rsid w:val="00283A16"/>
    <w:rsid w:val="00284660"/>
    <w:rsid w:val="00285BEA"/>
    <w:rsid w:val="00296768"/>
    <w:rsid w:val="002A3AF4"/>
    <w:rsid w:val="002B2E63"/>
    <w:rsid w:val="002B7F25"/>
    <w:rsid w:val="002C1B15"/>
    <w:rsid w:val="002C3A2B"/>
    <w:rsid w:val="002D6ED4"/>
    <w:rsid w:val="002E3C25"/>
    <w:rsid w:val="002E75D0"/>
    <w:rsid w:val="002F6121"/>
    <w:rsid w:val="003031E5"/>
    <w:rsid w:val="00303D73"/>
    <w:rsid w:val="00304073"/>
    <w:rsid w:val="00304CDB"/>
    <w:rsid w:val="00312DB2"/>
    <w:rsid w:val="00314CA0"/>
    <w:rsid w:val="00316E32"/>
    <w:rsid w:val="00321EEB"/>
    <w:rsid w:val="0032552D"/>
    <w:rsid w:val="0033236F"/>
    <w:rsid w:val="0033461A"/>
    <w:rsid w:val="003364C3"/>
    <w:rsid w:val="00336B51"/>
    <w:rsid w:val="003400E9"/>
    <w:rsid w:val="00346623"/>
    <w:rsid w:val="0035264B"/>
    <w:rsid w:val="00366664"/>
    <w:rsid w:val="003733FB"/>
    <w:rsid w:val="00384F50"/>
    <w:rsid w:val="0038585B"/>
    <w:rsid w:val="00391974"/>
    <w:rsid w:val="00393EE7"/>
    <w:rsid w:val="003A1012"/>
    <w:rsid w:val="003A6C31"/>
    <w:rsid w:val="003B2B8E"/>
    <w:rsid w:val="003B5C4B"/>
    <w:rsid w:val="003C1901"/>
    <w:rsid w:val="003C1995"/>
    <w:rsid w:val="003C53B8"/>
    <w:rsid w:val="003C5927"/>
    <w:rsid w:val="003D2B9C"/>
    <w:rsid w:val="003D325D"/>
    <w:rsid w:val="003D5E9D"/>
    <w:rsid w:val="003D6D8E"/>
    <w:rsid w:val="003E157A"/>
    <w:rsid w:val="003E1B31"/>
    <w:rsid w:val="003E70C7"/>
    <w:rsid w:val="003E7B3E"/>
    <w:rsid w:val="003F1248"/>
    <w:rsid w:val="003F5B20"/>
    <w:rsid w:val="003F6185"/>
    <w:rsid w:val="00404223"/>
    <w:rsid w:val="00422637"/>
    <w:rsid w:val="00423626"/>
    <w:rsid w:val="004263FF"/>
    <w:rsid w:val="00433140"/>
    <w:rsid w:val="00433379"/>
    <w:rsid w:val="004369F7"/>
    <w:rsid w:val="004462AA"/>
    <w:rsid w:val="00446648"/>
    <w:rsid w:val="00454328"/>
    <w:rsid w:val="004577D2"/>
    <w:rsid w:val="00463E32"/>
    <w:rsid w:val="00471BA4"/>
    <w:rsid w:val="0047524A"/>
    <w:rsid w:val="00482DF9"/>
    <w:rsid w:val="00485763"/>
    <w:rsid w:val="00490D72"/>
    <w:rsid w:val="004A1FF2"/>
    <w:rsid w:val="004A5720"/>
    <w:rsid w:val="004B1E99"/>
    <w:rsid w:val="004B2110"/>
    <w:rsid w:val="004B680D"/>
    <w:rsid w:val="004B72F0"/>
    <w:rsid w:val="004C5CC5"/>
    <w:rsid w:val="004C5E7A"/>
    <w:rsid w:val="004C770E"/>
    <w:rsid w:val="004D61E3"/>
    <w:rsid w:val="004D658C"/>
    <w:rsid w:val="004E743D"/>
    <w:rsid w:val="004F1A45"/>
    <w:rsid w:val="00500085"/>
    <w:rsid w:val="00501781"/>
    <w:rsid w:val="00504691"/>
    <w:rsid w:val="0050583D"/>
    <w:rsid w:val="005141EC"/>
    <w:rsid w:val="0051649A"/>
    <w:rsid w:val="005164F4"/>
    <w:rsid w:val="00517476"/>
    <w:rsid w:val="00521E59"/>
    <w:rsid w:val="00530485"/>
    <w:rsid w:val="00535264"/>
    <w:rsid w:val="00541E69"/>
    <w:rsid w:val="0056580F"/>
    <w:rsid w:val="00575207"/>
    <w:rsid w:val="00575935"/>
    <w:rsid w:val="005815DF"/>
    <w:rsid w:val="00582808"/>
    <w:rsid w:val="00584702"/>
    <w:rsid w:val="005853A4"/>
    <w:rsid w:val="00585E92"/>
    <w:rsid w:val="005921F2"/>
    <w:rsid w:val="005949EC"/>
    <w:rsid w:val="00594A07"/>
    <w:rsid w:val="00595B1A"/>
    <w:rsid w:val="005A1F18"/>
    <w:rsid w:val="005A3376"/>
    <w:rsid w:val="005A460A"/>
    <w:rsid w:val="005A5828"/>
    <w:rsid w:val="005A63D9"/>
    <w:rsid w:val="005A7912"/>
    <w:rsid w:val="005B56B7"/>
    <w:rsid w:val="005B57A9"/>
    <w:rsid w:val="005B6912"/>
    <w:rsid w:val="005B72A8"/>
    <w:rsid w:val="005B7848"/>
    <w:rsid w:val="005C3F2C"/>
    <w:rsid w:val="005C6F59"/>
    <w:rsid w:val="005D3314"/>
    <w:rsid w:val="005D4127"/>
    <w:rsid w:val="005D60E5"/>
    <w:rsid w:val="005D69A1"/>
    <w:rsid w:val="005D78A5"/>
    <w:rsid w:val="005E10F5"/>
    <w:rsid w:val="005E498A"/>
    <w:rsid w:val="005F5051"/>
    <w:rsid w:val="006038F5"/>
    <w:rsid w:val="00603C4F"/>
    <w:rsid w:val="00607E9C"/>
    <w:rsid w:val="006106FD"/>
    <w:rsid w:val="00617246"/>
    <w:rsid w:val="00617B87"/>
    <w:rsid w:val="006220FA"/>
    <w:rsid w:val="00624136"/>
    <w:rsid w:val="00625E6B"/>
    <w:rsid w:val="00630261"/>
    <w:rsid w:val="00630EA0"/>
    <w:rsid w:val="0063194F"/>
    <w:rsid w:val="0064085C"/>
    <w:rsid w:val="00646543"/>
    <w:rsid w:val="00651C0F"/>
    <w:rsid w:val="00655201"/>
    <w:rsid w:val="00672B95"/>
    <w:rsid w:val="00677B60"/>
    <w:rsid w:val="00677F86"/>
    <w:rsid w:val="006819AC"/>
    <w:rsid w:val="006827F3"/>
    <w:rsid w:val="006829E4"/>
    <w:rsid w:val="0068522D"/>
    <w:rsid w:val="00685CBA"/>
    <w:rsid w:val="006860E9"/>
    <w:rsid w:val="0068681A"/>
    <w:rsid w:val="00687DA4"/>
    <w:rsid w:val="00691F7F"/>
    <w:rsid w:val="006940CC"/>
    <w:rsid w:val="006A0758"/>
    <w:rsid w:val="006A4066"/>
    <w:rsid w:val="006B01EF"/>
    <w:rsid w:val="006B02E3"/>
    <w:rsid w:val="006B6C8D"/>
    <w:rsid w:val="006C26B7"/>
    <w:rsid w:val="006C6C98"/>
    <w:rsid w:val="006E02D4"/>
    <w:rsid w:val="006E087A"/>
    <w:rsid w:val="006E1EEA"/>
    <w:rsid w:val="006F142B"/>
    <w:rsid w:val="006F1F16"/>
    <w:rsid w:val="006F23CD"/>
    <w:rsid w:val="006F4892"/>
    <w:rsid w:val="006F6536"/>
    <w:rsid w:val="006F69A0"/>
    <w:rsid w:val="0070383D"/>
    <w:rsid w:val="00703E50"/>
    <w:rsid w:val="00716BFB"/>
    <w:rsid w:val="00723AFF"/>
    <w:rsid w:val="00727A74"/>
    <w:rsid w:val="007427A1"/>
    <w:rsid w:val="007432DD"/>
    <w:rsid w:val="0074529C"/>
    <w:rsid w:val="00763739"/>
    <w:rsid w:val="007730EE"/>
    <w:rsid w:val="007736A9"/>
    <w:rsid w:val="0077381F"/>
    <w:rsid w:val="0078024F"/>
    <w:rsid w:val="00780F8C"/>
    <w:rsid w:val="007821A1"/>
    <w:rsid w:val="00785C5C"/>
    <w:rsid w:val="00786227"/>
    <w:rsid w:val="00787A0E"/>
    <w:rsid w:val="0079256B"/>
    <w:rsid w:val="007927E1"/>
    <w:rsid w:val="00792908"/>
    <w:rsid w:val="00794F53"/>
    <w:rsid w:val="007A23D8"/>
    <w:rsid w:val="007A471C"/>
    <w:rsid w:val="007A7638"/>
    <w:rsid w:val="007B1583"/>
    <w:rsid w:val="007C04A5"/>
    <w:rsid w:val="007D1B13"/>
    <w:rsid w:val="007F2771"/>
    <w:rsid w:val="007F5B5F"/>
    <w:rsid w:val="00813236"/>
    <w:rsid w:val="0081491C"/>
    <w:rsid w:val="00822302"/>
    <w:rsid w:val="00824E0C"/>
    <w:rsid w:val="0082578F"/>
    <w:rsid w:val="00826D14"/>
    <w:rsid w:val="00827F85"/>
    <w:rsid w:val="00831C44"/>
    <w:rsid w:val="00832BEC"/>
    <w:rsid w:val="00836DA1"/>
    <w:rsid w:val="008403EF"/>
    <w:rsid w:val="00847BB7"/>
    <w:rsid w:val="0085232D"/>
    <w:rsid w:val="008628F5"/>
    <w:rsid w:val="0087235F"/>
    <w:rsid w:val="0087507C"/>
    <w:rsid w:val="00876418"/>
    <w:rsid w:val="00881B78"/>
    <w:rsid w:val="00884449"/>
    <w:rsid w:val="008863D7"/>
    <w:rsid w:val="008A10CB"/>
    <w:rsid w:val="008A2F11"/>
    <w:rsid w:val="008A4CEB"/>
    <w:rsid w:val="008A708F"/>
    <w:rsid w:val="008B222C"/>
    <w:rsid w:val="008C5190"/>
    <w:rsid w:val="008D3952"/>
    <w:rsid w:val="008D4BA3"/>
    <w:rsid w:val="008D60D9"/>
    <w:rsid w:val="008E6741"/>
    <w:rsid w:val="008E6BF0"/>
    <w:rsid w:val="008F121B"/>
    <w:rsid w:val="008F3E9B"/>
    <w:rsid w:val="008F4308"/>
    <w:rsid w:val="008F5104"/>
    <w:rsid w:val="0090494D"/>
    <w:rsid w:val="00905E05"/>
    <w:rsid w:val="009103B9"/>
    <w:rsid w:val="009110EF"/>
    <w:rsid w:val="0091291B"/>
    <w:rsid w:val="00915FCB"/>
    <w:rsid w:val="00916C31"/>
    <w:rsid w:val="0092080C"/>
    <w:rsid w:val="00925BAB"/>
    <w:rsid w:val="00933298"/>
    <w:rsid w:val="00953974"/>
    <w:rsid w:val="00955B34"/>
    <w:rsid w:val="00961A18"/>
    <w:rsid w:val="00961B77"/>
    <w:rsid w:val="00963098"/>
    <w:rsid w:val="00977395"/>
    <w:rsid w:val="00980515"/>
    <w:rsid w:val="00985BB0"/>
    <w:rsid w:val="0099189B"/>
    <w:rsid w:val="00993BB9"/>
    <w:rsid w:val="009A3A0C"/>
    <w:rsid w:val="009A40BC"/>
    <w:rsid w:val="009A4E3E"/>
    <w:rsid w:val="009A74AD"/>
    <w:rsid w:val="009A7790"/>
    <w:rsid w:val="009B73E2"/>
    <w:rsid w:val="009C08CE"/>
    <w:rsid w:val="009C0C8B"/>
    <w:rsid w:val="009C303D"/>
    <w:rsid w:val="009C5DA4"/>
    <w:rsid w:val="009D01C6"/>
    <w:rsid w:val="009D1287"/>
    <w:rsid w:val="009D1EE0"/>
    <w:rsid w:val="009E3778"/>
    <w:rsid w:val="009E65C0"/>
    <w:rsid w:val="009F1759"/>
    <w:rsid w:val="009F1DEF"/>
    <w:rsid w:val="009F2960"/>
    <w:rsid w:val="009F6FA8"/>
    <w:rsid w:val="00A03170"/>
    <w:rsid w:val="00A0431E"/>
    <w:rsid w:val="00A052CD"/>
    <w:rsid w:val="00A1004F"/>
    <w:rsid w:val="00A10867"/>
    <w:rsid w:val="00A11DDB"/>
    <w:rsid w:val="00A13DE2"/>
    <w:rsid w:val="00A21622"/>
    <w:rsid w:val="00A32A2A"/>
    <w:rsid w:val="00A3535B"/>
    <w:rsid w:val="00A473CB"/>
    <w:rsid w:val="00A47FCF"/>
    <w:rsid w:val="00A5782F"/>
    <w:rsid w:val="00A653B7"/>
    <w:rsid w:val="00A719E2"/>
    <w:rsid w:val="00A71E39"/>
    <w:rsid w:val="00A73878"/>
    <w:rsid w:val="00A74951"/>
    <w:rsid w:val="00A8092F"/>
    <w:rsid w:val="00A81826"/>
    <w:rsid w:val="00A81D6A"/>
    <w:rsid w:val="00A866AA"/>
    <w:rsid w:val="00A93E79"/>
    <w:rsid w:val="00A9789A"/>
    <w:rsid w:val="00AA7DA5"/>
    <w:rsid w:val="00AB74E3"/>
    <w:rsid w:val="00AC0719"/>
    <w:rsid w:val="00AC0B21"/>
    <w:rsid w:val="00AC1741"/>
    <w:rsid w:val="00AC3709"/>
    <w:rsid w:val="00AD2443"/>
    <w:rsid w:val="00AD3B34"/>
    <w:rsid w:val="00AD45AA"/>
    <w:rsid w:val="00AD6A88"/>
    <w:rsid w:val="00AE245D"/>
    <w:rsid w:val="00B02B00"/>
    <w:rsid w:val="00B067A3"/>
    <w:rsid w:val="00B10521"/>
    <w:rsid w:val="00B11BC8"/>
    <w:rsid w:val="00B1316A"/>
    <w:rsid w:val="00B14B89"/>
    <w:rsid w:val="00B25CF5"/>
    <w:rsid w:val="00B270F2"/>
    <w:rsid w:val="00B31599"/>
    <w:rsid w:val="00B32FCB"/>
    <w:rsid w:val="00B361F4"/>
    <w:rsid w:val="00B36AB6"/>
    <w:rsid w:val="00B37ECB"/>
    <w:rsid w:val="00B4589C"/>
    <w:rsid w:val="00B476C2"/>
    <w:rsid w:val="00B5093B"/>
    <w:rsid w:val="00B50AE3"/>
    <w:rsid w:val="00B51483"/>
    <w:rsid w:val="00B526DF"/>
    <w:rsid w:val="00B54781"/>
    <w:rsid w:val="00B567AE"/>
    <w:rsid w:val="00B61246"/>
    <w:rsid w:val="00B62625"/>
    <w:rsid w:val="00B70F7E"/>
    <w:rsid w:val="00B712E1"/>
    <w:rsid w:val="00B8310A"/>
    <w:rsid w:val="00B84510"/>
    <w:rsid w:val="00B8742B"/>
    <w:rsid w:val="00B9473A"/>
    <w:rsid w:val="00B94B47"/>
    <w:rsid w:val="00BA2F7F"/>
    <w:rsid w:val="00BA47F1"/>
    <w:rsid w:val="00BB2040"/>
    <w:rsid w:val="00BC1298"/>
    <w:rsid w:val="00BD1312"/>
    <w:rsid w:val="00BD21C1"/>
    <w:rsid w:val="00BD641F"/>
    <w:rsid w:val="00BD7702"/>
    <w:rsid w:val="00BE0EFE"/>
    <w:rsid w:val="00BE4057"/>
    <w:rsid w:val="00BE63EA"/>
    <w:rsid w:val="00BF2C22"/>
    <w:rsid w:val="00BF5EF6"/>
    <w:rsid w:val="00C000ED"/>
    <w:rsid w:val="00C01862"/>
    <w:rsid w:val="00C067D2"/>
    <w:rsid w:val="00C1742E"/>
    <w:rsid w:val="00C24E35"/>
    <w:rsid w:val="00C2715D"/>
    <w:rsid w:val="00C3370C"/>
    <w:rsid w:val="00C339B7"/>
    <w:rsid w:val="00C35752"/>
    <w:rsid w:val="00C42912"/>
    <w:rsid w:val="00C574F8"/>
    <w:rsid w:val="00C65945"/>
    <w:rsid w:val="00C65ADD"/>
    <w:rsid w:val="00C707FB"/>
    <w:rsid w:val="00C73FB1"/>
    <w:rsid w:val="00C95BEC"/>
    <w:rsid w:val="00CA1683"/>
    <w:rsid w:val="00CA3937"/>
    <w:rsid w:val="00CA5BE3"/>
    <w:rsid w:val="00CB1CE9"/>
    <w:rsid w:val="00CB1DBF"/>
    <w:rsid w:val="00CC24DC"/>
    <w:rsid w:val="00CC39E2"/>
    <w:rsid w:val="00CC440D"/>
    <w:rsid w:val="00CC72A8"/>
    <w:rsid w:val="00CC764F"/>
    <w:rsid w:val="00CD5833"/>
    <w:rsid w:val="00CD5B69"/>
    <w:rsid w:val="00CD6C37"/>
    <w:rsid w:val="00CF1AAA"/>
    <w:rsid w:val="00CF645B"/>
    <w:rsid w:val="00D045FF"/>
    <w:rsid w:val="00D14988"/>
    <w:rsid w:val="00D17053"/>
    <w:rsid w:val="00D33037"/>
    <w:rsid w:val="00D36E17"/>
    <w:rsid w:val="00D376A4"/>
    <w:rsid w:val="00D41514"/>
    <w:rsid w:val="00D44032"/>
    <w:rsid w:val="00D44450"/>
    <w:rsid w:val="00D455D1"/>
    <w:rsid w:val="00D46E6C"/>
    <w:rsid w:val="00D47ADB"/>
    <w:rsid w:val="00D569DE"/>
    <w:rsid w:val="00D613F0"/>
    <w:rsid w:val="00D614C8"/>
    <w:rsid w:val="00D74573"/>
    <w:rsid w:val="00D757F4"/>
    <w:rsid w:val="00D879D2"/>
    <w:rsid w:val="00D90B41"/>
    <w:rsid w:val="00D952FE"/>
    <w:rsid w:val="00DA0D70"/>
    <w:rsid w:val="00DA3FBC"/>
    <w:rsid w:val="00DA4793"/>
    <w:rsid w:val="00DA6E98"/>
    <w:rsid w:val="00DB1646"/>
    <w:rsid w:val="00DC0273"/>
    <w:rsid w:val="00DC1A79"/>
    <w:rsid w:val="00DC6E98"/>
    <w:rsid w:val="00DD18E4"/>
    <w:rsid w:val="00DD6348"/>
    <w:rsid w:val="00DE267C"/>
    <w:rsid w:val="00DE3F0D"/>
    <w:rsid w:val="00DE5EEF"/>
    <w:rsid w:val="00DF10D1"/>
    <w:rsid w:val="00DF3302"/>
    <w:rsid w:val="00DF39DE"/>
    <w:rsid w:val="00DF48C3"/>
    <w:rsid w:val="00E20BC3"/>
    <w:rsid w:val="00E21A2D"/>
    <w:rsid w:val="00E247DC"/>
    <w:rsid w:val="00E2573F"/>
    <w:rsid w:val="00E41523"/>
    <w:rsid w:val="00E425E5"/>
    <w:rsid w:val="00E46A8D"/>
    <w:rsid w:val="00E56612"/>
    <w:rsid w:val="00E60A18"/>
    <w:rsid w:val="00E71D5B"/>
    <w:rsid w:val="00E72382"/>
    <w:rsid w:val="00E75F55"/>
    <w:rsid w:val="00E80E9C"/>
    <w:rsid w:val="00E818E2"/>
    <w:rsid w:val="00E81B9F"/>
    <w:rsid w:val="00E91E49"/>
    <w:rsid w:val="00E95EBE"/>
    <w:rsid w:val="00E97F6C"/>
    <w:rsid w:val="00EA0E6D"/>
    <w:rsid w:val="00EA25E3"/>
    <w:rsid w:val="00EA5DAE"/>
    <w:rsid w:val="00EB714C"/>
    <w:rsid w:val="00EC2750"/>
    <w:rsid w:val="00EC4341"/>
    <w:rsid w:val="00EC6FD0"/>
    <w:rsid w:val="00ED0442"/>
    <w:rsid w:val="00ED048D"/>
    <w:rsid w:val="00ED1787"/>
    <w:rsid w:val="00ED69B7"/>
    <w:rsid w:val="00ED7264"/>
    <w:rsid w:val="00EE10B2"/>
    <w:rsid w:val="00EE5375"/>
    <w:rsid w:val="00EF0DF0"/>
    <w:rsid w:val="00EF1458"/>
    <w:rsid w:val="00EF1E98"/>
    <w:rsid w:val="00EF21C9"/>
    <w:rsid w:val="00EF5CFE"/>
    <w:rsid w:val="00EF6F06"/>
    <w:rsid w:val="00F0632A"/>
    <w:rsid w:val="00F063E9"/>
    <w:rsid w:val="00F106E1"/>
    <w:rsid w:val="00F10B66"/>
    <w:rsid w:val="00F10B93"/>
    <w:rsid w:val="00F156E4"/>
    <w:rsid w:val="00F16221"/>
    <w:rsid w:val="00F21169"/>
    <w:rsid w:val="00F3002B"/>
    <w:rsid w:val="00F30682"/>
    <w:rsid w:val="00F30D83"/>
    <w:rsid w:val="00F313BB"/>
    <w:rsid w:val="00F31F2F"/>
    <w:rsid w:val="00F34E71"/>
    <w:rsid w:val="00F37A8C"/>
    <w:rsid w:val="00F430DD"/>
    <w:rsid w:val="00F447DC"/>
    <w:rsid w:val="00F45329"/>
    <w:rsid w:val="00F470A6"/>
    <w:rsid w:val="00F56D7A"/>
    <w:rsid w:val="00F661CC"/>
    <w:rsid w:val="00F73AB6"/>
    <w:rsid w:val="00F73D5D"/>
    <w:rsid w:val="00F754EF"/>
    <w:rsid w:val="00F8167C"/>
    <w:rsid w:val="00F83A47"/>
    <w:rsid w:val="00F84D10"/>
    <w:rsid w:val="00F91837"/>
    <w:rsid w:val="00F927F4"/>
    <w:rsid w:val="00F95174"/>
    <w:rsid w:val="00FA2E81"/>
    <w:rsid w:val="00FB03A0"/>
    <w:rsid w:val="00FB12AB"/>
    <w:rsid w:val="00FB7D34"/>
    <w:rsid w:val="00FC2E2D"/>
    <w:rsid w:val="00FC39D1"/>
    <w:rsid w:val="00FC7468"/>
    <w:rsid w:val="00FD4512"/>
    <w:rsid w:val="00FE089C"/>
    <w:rsid w:val="00FE3D6F"/>
    <w:rsid w:val="00FE3F25"/>
    <w:rsid w:val="00FF0AB8"/>
    <w:rsid w:val="00FF127B"/>
    <w:rsid w:val="00FF1F9E"/>
    <w:rsid w:val="00FF3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17"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link w:val="3Char"/>
    <w:qFormat/>
    <w:rsid w:val="00D36E1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36E17"/>
    <w:rPr>
      <w:strike w:val="0"/>
      <w:dstrike w:val="0"/>
      <w:color w:val="136EC2"/>
      <w:u w:val="single"/>
    </w:rPr>
  </w:style>
  <w:style w:type="character" w:styleId="a4">
    <w:name w:val="Emphasis"/>
    <w:qFormat/>
    <w:rsid w:val="00D36E17"/>
    <w:rPr>
      <w:i w:val="0"/>
      <w:iCs w:val="0"/>
      <w:color w:val="CC0000"/>
    </w:rPr>
  </w:style>
  <w:style w:type="character" w:styleId="a5">
    <w:name w:val="Strong"/>
    <w:qFormat/>
    <w:rsid w:val="00D36E17"/>
    <w:rPr>
      <w:b/>
      <w:bCs/>
    </w:rPr>
  </w:style>
  <w:style w:type="character" w:styleId="a6">
    <w:name w:val="page number"/>
    <w:basedOn w:val="a0"/>
    <w:rsid w:val="00D36E17"/>
  </w:style>
  <w:style w:type="character" w:customStyle="1" w:styleId="1">
    <w:name w:val="页码1"/>
    <w:basedOn w:val="a0"/>
    <w:rsid w:val="00D36E17"/>
  </w:style>
  <w:style w:type="character" w:customStyle="1" w:styleId="3Char">
    <w:name w:val="标题 3 Char"/>
    <w:link w:val="3"/>
    <w:rsid w:val="00D36E17"/>
    <w:rPr>
      <w:b/>
      <w:bCs/>
      <w:kern w:val="2"/>
      <w:sz w:val="32"/>
      <w:szCs w:val="32"/>
    </w:rPr>
  </w:style>
  <w:style w:type="paragraph" w:customStyle="1" w:styleId="p0">
    <w:name w:val="p0"/>
    <w:basedOn w:val="a"/>
    <w:rsid w:val="00D36E17"/>
    <w:pPr>
      <w:widowControl/>
    </w:pPr>
    <w:rPr>
      <w:rFonts w:ascii="Calibri" w:hAnsi="Calibri" w:cs="Calibri"/>
      <w:kern w:val="0"/>
      <w:szCs w:val="21"/>
    </w:rPr>
  </w:style>
  <w:style w:type="paragraph" w:styleId="a7">
    <w:name w:val="header"/>
    <w:basedOn w:val="a"/>
    <w:rsid w:val="00D36E1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CM5">
    <w:name w:val="CM5"/>
    <w:basedOn w:val="Default"/>
    <w:next w:val="Default"/>
    <w:rsid w:val="00D36E17"/>
    <w:rPr>
      <w:rFonts w:cs="Times New Roman"/>
      <w:color w:val="auto"/>
    </w:rPr>
  </w:style>
  <w:style w:type="paragraph" w:styleId="a8">
    <w:name w:val="Normal (Web)"/>
    <w:basedOn w:val="a"/>
    <w:uiPriority w:val="99"/>
    <w:rsid w:val="00D36E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">
    <w:name w:val="Char"/>
    <w:basedOn w:val="a"/>
    <w:rsid w:val="00D36E17"/>
    <w:pPr>
      <w:widowControl/>
      <w:spacing w:after="160" w:line="240" w:lineRule="exact"/>
      <w:jc w:val="left"/>
    </w:pPr>
  </w:style>
  <w:style w:type="paragraph" w:styleId="a9">
    <w:name w:val="List Paragraph"/>
    <w:basedOn w:val="a"/>
    <w:qFormat/>
    <w:rsid w:val="00D36E17"/>
    <w:pPr>
      <w:ind w:firstLineChars="200" w:firstLine="420"/>
    </w:pPr>
    <w:rPr>
      <w:rFonts w:ascii="Calibri" w:hAnsi="Calibri"/>
      <w:szCs w:val="22"/>
    </w:rPr>
  </w:style>
  <w:style w:type="paragraph" w:customStyle="1" w:styleId="CM6">
    <w:name w:val="CM6"/>
    <w:basedOn w:val="Default"/>
    <w:next w:val="Default"/>
    <w:rsid w:val="00D36E17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D36E17"/>
    <w:pPr>
      <w:spacing w:line="423" w:lineRule="atLeast"/>
    </w:pPr>
    <w:rPr>
      <w:rFonts w:cs="Times New Roman"/>
      <w:color w:val="auto"/>
    </w:rPr>
  </w:style>
  <w:style w:type="paragraph" w:styleId="aa">
    <w:name w:val="footer"/>
    <w:basedOn w:val="a"/>
    <w:link w:val="Char0"/>
    <w:uiPriority w:val="99"/>
    <w:rsid w:val="00D36E1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Default">
    <w:name w:val="Default"/>
    <w:rsid w:val="00D36E1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Char0">
    <w:name w:val="页脚 Char"/>
    <w:link w:val="aa"/>
    <w:uiPriority w:val="99"/>
    <w:rsid w:val="00530485"/>
    <w:rPr>
      <w:kern w:val="2"/>
      <w:sz w:val="18"/>
    </w:rPr>
  </w:style>
  <w:style w:type="paragraph" w:styleId="ab">
    <w:name w:val="Balloon Text"/>
    <w:basedOn w:val="a"/>
    <w:link w:val="Char1"/>
    <w:uiPriority w:val="99"/>
    <w:semiHidden/>
    <w:unhideWhenUsed/>
    <w:rsid w:val="00FE3F25"/>
    <w:rPr>
      <w:sz w:val="18"/>
      <w:szCs w:val="18"/>
    </w:rPr>
  </w:style>
  <w:style w:type="character" w:customStyle="1" w:styleId="Char1">
    <w:name w:val="批注框文本 Char"/>
    <w:basedOn w:val="a0"/>
    <w:link w:val="ab"/>
    <w:uiPriority w:val="99"/>
    <w:semiHidden/>
    <w:rsid w:val="00FE3F25"/>
    <w:rPr>
      <w:kern w:val="2"/>
      <w:sz w:val="18"/>
      <w:szCs w:val="18"/>
    </w:rPr>
  </w:style>
  <w:style w:type="paragraph" w:customStyle="1" w:styleId="ds-markdown-paragraph">
    <w:name w:val="ds-markdown-paragraph"/>
    <w:basedOn w:val="a"/>
    <w:rsid w:val="005D60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9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285</Words>
  <Characters>1629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曾国藩冰鉴智慧修炼</dc:title>
  <dc:creator>linda</dc:creator>
  <cp:lastModifiedBy>WINDOWS</cp:lastModifiedBy>
  <cp:revision>20</cp:revision>
  <cp:lastPrinted>2012-02-01T01:16:00Z</cp:lastPrinted>
  <dcterms:created xsi:type="dcterms:W3CDTF">2025-10-15T02:09:00Z</dcterms:created>
  <dcterms:modified xsi:type="dcterms:W3CDTF">2025-12-11T12:03:00Z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2052-8.1.0.3442</vt:lpwstr>
  </property>
</Properties>
</file>