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070B4" w14:textId="77777777" w:rsidR="00020BE4" w:rsidRDefault="009B0466" w:rsidP="009B0466">
      <w:pPr>
        <w:spacing w:line="480" w:lineRule="auto"/>
        <w:jc w:val="center"/>
        <w:rPr>
          <w:rFonts w:ascii="宋体" w:hAnsi="宋体"/>
          <w:b/>
          <w:bCs/>
          <w:sz w:val="32"/>
          <w:szCs w:val="32"/>
        </w:rPr>
      </w:pPr>
      <w:r>
        <w:rPr>
          <w:rFonts w:ascii="宋体" w:hAnsi="宋体" w:hint="eastAsia"/>
          <w:b/>
          <w:bCs/>
          <w:sz w:val="32"/>
          <w:szCs w:val="32"/>
        </w:rPr>
        <w:t>报表阅读与财务分析</w:t>
      </w:r>
    </w:p>
    <w:p w14:paraId="28C0530D" w14:textId="77777777" w:rsidR="001F31F9" w:rsidRPr="00B22FE1" w:rsidRDefault="001F31F9" w:rsidP="009B0466">
      <w:pPr>
        <w:tabs>
          <w:tab w:val="left" w:pos="602"/>
        </w:tabs>
        <w:spacing w:line="480" w:lineRule="auto"/>
        <w:rPr>
          <w:b/>
          <w:bCs/>
          <w:szCs w:val="21"/>
        </w:rPr>
      </w:pPr>
      <w:r w:rsidRPr="00B22FE1">
        <w:rPr>
          <w:rFonts w:hint="eastAsia"/>
          <w:b/>
          <w:bCs/>
          <w:szCs w:val="21"/>
        </w:rPr>
        <w:t>课程背景</w:t>
      </w:r>
      <w:r>
        <w:rPr>
          <w:rFonts w:hint="eastAsia"/>
          <w:b/>
          <w:bCs/>
          <w:szCs w:val="21"/>
        </w:rPr>
        <w:t>：</w:t>
      </w:r>
    </w:p>
    <w:p w14:paraId="753EF343" w14:textId="4FA72490" w:rsidR="001F31F9" w:rsidRPr="00B22FE1" w:rsidRDefault="00EF63B7" w:rsidP="009B0466">
      <w:pPr>
        <w:widowControl/>
        <w:tabs>
          <w:tab w:val="left" w:pos="602"/>
        </w:tabs>
        <w:spacing w:line="480" w:lineRule="auto"/>
        <w:ind w:firstLineChars="196" w:firstLine="412"/>
        <w:jc w:val="left"/>
        <w:rPr>
          <w:rFonts w:ascii="宋体" w:hAnsi="宋体" w:cs="宋体"/>
          <w:color w:val="000000"/>
          <w:kern w:val="0"/>
          <w:szCs w:val="21"/>
        </w:rPr>
      </w:pPr>
      <w:r>
        <w:rPr>
          <w:rFonts w:cs="宋体" w:hint="eastAsia"/>
          <w:color w:val="000000"/>
          <w:kern w:val="0"/>
          <w:szCs w:val="21"/>
        </w:rPr>
        <w:t>财务管理的精髓是讲授提升企业价值的技巧与方法，因而其在现代企业的整个管理中居于核心地位，本课程重点讲授现代企业财务管理的两大特点与提升企业价值的方法</w:t>
      </w:r>
      <w:r w:rsidR="007B0610">
        <w:rPr>
          <w:rFonts w:cs="宋体" w:hint="eastAsia"/>
          <w:color w:val="000000"/>
          <w:kern w:val="0"/>
          <w:szCs w:val="21"/>
        </w:rPr>
        <w:t>、</w:t>
      </w:r>
      <w:r>
        <w:rPr>
          <w:rFonts w:cs="宋体" w:hint="eastAsia"/>
          <w:color w:val="000000"/>
          <w:kern w:val="0"/>
          <w:szCs w:val="21"/>
        </w:rPr>
        <w:t>通过财务报表发现企业管理问题的方法，从而做到对症下药、有的放矢，提高管理决策与管理行为的针对性与有效性</w:t>
      </w:r>
      <w:r w:rsidR="00B25E5F">
        <w:rPr>
          <w:rFonts w:cs="宋体" w:hint="eastAsia"/>
          <w:color w:val="000000"/>
          <w:kern w:val="0"/>
          <w:szCs w:val="21"/>
        </w:rPr>
        <w:t>，</w:t>
      </w:r>
      <w:r>
        <w:rPr>
          <w:rFonts w:cs="宋体" w:hint="eastAsia"/>
          <w:color w:val="000000"/>
          <w:kern w:val="0"/>
          <w:szCs w:val="21"/>
        </w:rPr>
        <w:t>本课程对于迅速提高</w:t>
      </w:r>
      <w:r w:rsidR="009B0466">
        <w:rPr>
          <w:rFonts w:cs="宋体" w:hint="eastAsia"/>
          <w:color w:val="000000"/>
          <w:kern w:val="0"/>
          <w:szCs w:val="21"/>
        </w:rPr>
        <w:t>学员的</w:t>
      </w:r>
      <w:r>
        <w:rPr>
          <w:rFonts w:cs="宋体" w:hint="eastAsia"/>
          <w:color w:val="000000"/>
          <w:kern w:val="0"/>
          <w:szCs w:val="21"/>
        </w:rPr>
        <w:t>财务认知将会产生立竿见影的效果</w:t>
      </w:r>
      <w:r w:rsidR="001F31F9" w:rsidRPr="00B22FE1">
        <w:rPr>
          <w:rFonts w:cs="宋体" w:hint="eastAsia"/>
          <w:color w:val="000000"/>
          <w:kern w:val="0"/>
          <w:szCs w:val="21"/>
        </w:rPr>
        <w:t>。</w:t>
      </w:r>
    </w:p>
    <w:p w14:paraId="0B074482" w14:textId="77777777" w:rsidR="001F31F9" w:rsidRPr="00B22FE1" w:rsidRDefault="001F31F9" w:rsidP="009B0466">
      <w:pPr>
        <w:tabs>
          <w:tab w:val="left" w:pos="602"/>
        </w:tabs>
        <w:spacing w:line="480" w:lineRule="auto"/>
        <w:rPr>
          <w:b/>
          <w:szCs w:val="21"/>
        </w:rPr>
      </w:pPr>
      <w:r w:rsidRPr="00B22FE1">
        <w:rPr>
          <w:rFonts w:hint="eastAsia"/>
          <w:b/>
          <w:szCs w:val="21"/>
        </w:rPr>
        <w:t>课程收益</w:t>
      </w:r>
      <w:r>
        <w:rPr>
          <w:rFonts w:hint="eastAsia"/>
          <w:b/>
          <w:szCs w:val="21"/>
        </w:rPr>
        <w:t>：</w:t>
      </w:r>
    </w:p>
    <w:p w14:paraId="30DBE9BF" w14:textId="77777777" w:rsidR="001F31F9" w:rsidRDefault="001F31F9" w:rsidP="009B0466">
      <w:pPr>
        <w:tabs>
          <w:tab w:val="left" w:pos="602"/>
        </w:tabs>
        <w:spacing w:line="480" w:lineRule="auto"/>
        <w:ind w:firstLineChars="200" w:firstLine="420"/>
        <w:rPr>
          <w:szCs w:val="21"/>
        </w:rPr>
      </w:pPr>
      <w:r w:rsidRPr="00B22FE1">
        <w:rPr>
          <w:rFonts w:hint="eastAsia"/>
          <w:szCs w:val="21"/>
        </w:rPr>
        <w:t>通过</w:t>
      </w:r>
      <w:r w:rsidRPr="00B22FE1">
        <w:rPr>
          <w:szCs w:val="21"/>
        </w:rPr>
        <w:t>高效的培训方法，使参加者</w:t>
      </w:r>
      <w:r w:rsidR="004A20F0">
        <w:rPr>
          <w:szCs w:val="21"/>
        </w:rPr>
        <w:t>能够全面理解财务管理、建立与财务沟通的平台，有效地进行</w:t>
      </w:r>
      <w:r w:rsidR="00EF63B7">
        <w:rPr>
          <w:rFonts w:hint="eastAsia"/>
          <w:szCs w:val="21"/>
        </w:rPr>
        <w:t>财务</w:t>
      </w:r>
      <w:r w:rsidR="00EF63B7">
        <w:rPr>
          <w:szCs w:val="21"/>
        </w:rPr>
        <w:t>管理</w:t>
      </w:r>
      <w:r w:rsidRPr="00B22FE1">
        <w:rPr>
          <w:szCs w:val="21"/>
        </w:rPr>
        <w:t>，从财务的角度审视和重整自身工作，以便将企业整体战略与自身的财务管理责任更好地结合起来，有效提升企业的管理水平。同时，也将一改财务在参加者心目中深奥、枯燥的印象，让</w:t>
      </w:r>
      <w:r w:rsidR="00EF63B7">
        <w:rPr>
          <w:rFonts w:hint="eastAsia"/>
          <w:szCs w:val="21"/>
        </w:rPr>
        <w:t>学员</w:t>
      </w:r>
      <w:r w:rsidR="00EF63B7">
        <w:rPr>
          <w:szCs w:val="21"/>
        </w:rPr>
        <w:t>深刻</w:t>
      </w:r>
      <w:r w:rsidRPr="00B22FE1">
        <w:rPr>
          <w:szCs w:val="21"/>
        </w:rPr>
        <w:t>体会到财务管理的作用和乐趣。</w:t>
      </w:r>
      <w:r w:rsidRPr="00B22FE1">
        <w:rPr>
          <w:rFonts w:hint="eastAsia"/>
          <w:szCs w:val="21"/>
        </w:rPr>
        <w:t>具体培训收益可以主要概括为以下几点：</w:t>
      </w:r>
    </w:p>
    <w:p w14:paraId="7FA318E7" w14:textId="77777777" w:rsidR="00EF63B7" w:rsidRDefault="00EF63B7" w:rsidP="009B0466">
      <w:pPr>
        <w:tabs>
          <w:tab w:val="left" w:pos="602"/>
        </w:tabs>
        <w:spacing w:line="480" w:lineRule="auto"/>
        <w:ind w:firstLineChars="200" w:firstLine="420"/>
        <w:rPr>
          <w:szCs w:val="21"/>
        </w:rPr>
      </w:pPr>
      <w:r>
        <w:rPr>
          <w:rFonts w:hint="eastAsia"/>
          <w:szCs w:val="21"/>
        </w:rPr>
        <w:t>一、理解现代财务管理的两大特点与两大</w:t>
      </w:r>
      <w:r w:rsidR="00446343">
        <w:rPr>
          <w:rFonts w:hint="eastAsia"/>
          <w:szCs w:val="21"/>
        </w:rPr>
        <w:t>基本</w:t>
      </w:r>
      <w:r>
        <w:rPr>
          <w:rFonts w:hint="eastAsia"/>
          <w:szCs w:val="21"/>
        </w:rPr>
        <w:t>原则，全面提升价值创造能力</w:t>
      </w:r>
    </w:p>
    <w:p w14:paraId="2EFF51ED" w14:textId="77777777" w:rsidR="00EF63B7" w:rsidRDefault="00EF63B7" w:rsidP="009B0466">
      <w:pPr>
        <w:tabs>
          <w:tab w:val="left" w:pos="602"/>
        </w:tabs>
        <w:spacing w:line="480" w:lineRule="auto"/>
        <w:ind w:firstLineChars="200" w:firstLine="420"/>
        <w:rPr>
          <w:szCs w:val="21"/>
        </w:rPr>
      </w:pPr>
      <w:r>
        <w:rPr>
          <w:rFonts w:hint="eastAsia"/>
          <w:szCs w:val="21"/>
        </w:rPr>
        <w:t>二</w:t>
      </w:r>
      <w:r w:rsidR="001F31F9" w:rsidRPr="00B22FE1">
        <w:rPr>
          <w:rFonts w:hint="eastAsia"/>
          <w:szCs w:val="21"/>
        </w:rPr>
        <w:t>、</w:t>
      </w:r>
      <w:r w:rsidR="001F31F9" w:rsidRPr="00B22FE1">
        <w:rPr>
          <w:szCs w:val="21"/>
        </w:rPr>
        <w:t>透彻掌握三大财务报表，</w:t>
      </w:r>
      <w:r>
        <w:rPr>
          <w:szCs w:val="21"/>
        </w:rPr>
        <w:t>通过报表</w:t>
      </w:r>
      <w:r w:rsidR="00446343">
        <w:rPr>
          <w:szCs w:val="21"/>
        </w:rPr>
        <w:t>的阅读与分析</w:t>
      </w:r>
      <w:r>
        <w:rPr>
          <w:szCs w:val="21"/>
        </w:rPr>
        <w:t>发现企业的管理问题</w:t>
      </w:r>
      <w:r w:rsidR="001F31F9">
        <w:rPr>
          <w:szCs w:val="21"/>
        </w:rPr>
        <w:t xml:space="preserve"> </w:t>
      </w:r>
    </w:p>
    <w:p w14:paraId="13F6BC41" w14:textId="77777777" w:rsidR="001F31F9" w:rsidRPr="00B22FE1" w:rsidRDefault="00EF63B7" w:rsidP="009B0466">
      <w:pPr>
        <w:tabs>
          <w:tab w:val="left" w:pos="602"/>
        </w:tabs>
        <w:spacing w:line="480" w:lineRule="auto"/>
        <w:ind w:firstLineChars="200" w:firstLine="420"/>
        <w:rPr>
          <w:szCs w:val="21"/>
        </w:rPr>
      </w:pPr>
      <w:r>
        <w:rPr>
          <w:rFonts w:hint="eastAsia"/>
          <w:szCs w:val="21"/>
        </w:rPr>
        <w:t>三</w:t>
      </w:r>
      <w:r w:rsidR="001F31F9" w:rsidRPr="00B22FE1">
        <w:rPr>
          <w:rFonts w:hint="eastAsia"/>
          <w:szCs w:val="21"/>
        </w:rPr>
        <w:t>、</w:t>
      </w:r>
      <w:r w:rsidR="001F31F9" w:rsidRPr="00B22FE1">
        <w:rPr>
          <w:szCs w:val="21"/>
        </w:rPr>
        <w:t>各部门与财务人员在统一的平台上达成有效沟通</w:t>
      </w:r>
    </w:p>
    <w:p w14:paraId="7BA0C434" w14:textId="77777777" w:rsidR="001F31F9" w:rsidRPr="00B22FE1" w:rsidRDefault="001F31F9" w:rsidP="009B0466">
      <w:pPr>
        <w:tabs>
          <w:tab w:val="left" w:pos="602"/>
        </w:tabs>
        <w:spacing w:line="480" w:lineRule="auto"/>
        <w:ind w:firstLineChars="200" w:firstLine="420"/>
        <w:rPr>
          <w:szCs w:val="21"/>
        </w:rPr>
      </w:pPr>
      <w:r w:rsidRPr="00B22FE1">
        <w:rPr>
          <w:rFonts w:hint="eastAsia"/>
          <w:szCs w:val="21"/>
        </w:rPr>
        <w:t>四、</w:t>
      </w:r>
      <w:r w:rsidRPr="00B22FE1">
        <w:rPr>
          <w:szCs w:val="21"/>
        </w:rPr>
        <w:t>强化现金流意识，提高资金运作效率</w:t>
      </w:r>
    </w:p>
    <w:p w14:paraId="619400BD" w14:textId="77777777" w:rsidR="001F31F9" w:rsidRPr="001F31F9" w:rsidRDefault="004A20F0" w:rsidP="009B0466">
      <w:pPr>
        <w:tabs>
          <w:tab w:val="left" w:pos="602"/>
        </w:tabs>
        <w:spacing w:line="480" w:lineRule="auto"/>
        <w:ind w:firstLineChars="200" w:firstLine="420"/>
        <w:rPr>
          <w:szCs w:val="21"/>
        </w:rPr>
      </w:pPr>
      <w:r>
        <w:rPr>
          <w:rFonts w:hint="eastAsia"/>
          <w:szCs w:val="21"/>
        </w:rPr>
        <w:t>五</w:t>
      </w:r>
      <w:r w:rsidR="001F31F9" w:rsidRPr="00B22FE1">
        <w:rPr>
          <w:rFonts w:hint="eastAsia"/>
          <w:szCs w:val="21"/>
        </w:rPr>
        <w:t>、</w:t>
      </w:r>
      <w:r w:rsidR="00446343">
        <w:rPr>
          <w:szCs w:val="21"/>
        </w:rPr>
        <w:t>运用财务思维解读企业运作，</w:t>
      </w:r>
      <w:r w:rsidR="001F31F9" w:rsidRPr="00B22FE1">
        <w:rPr>
          <w:szCs w:val="21"/>
        </w:rPr>
        <w:t>寻求</w:t>
      </w:r>
      <w:r w:rsidR="00446343">
        <w:rPr>
          <w:szCs w:val="21"/>
        </w:rPr>
        <w:t>有效</w:t>
      </w:r>
      <w:r w:rsidR="001F31F9" w:rsidRPr="00B22FE1">
        <w:rPr>
          <w:szCs w:val="21"/>
        </w:rPr>
        <w:t>提升</w:t>
      </w:r>
      <w:r w:rsidR="00446343">
        <w:rPr>
          <w:szCs w:val="21"/>
        </w:rPr>
        <w:t>企业</w:t>
      </w:r>
      <w:r w:rsidR="001F31F9" w:rsidRPr="00B22FE1">
        <w:rPr>
          <w:szCs w:val="21"/>
        </w:rPr>
        <w:t>经营绩效的方法</w:t>
      </w:r>
    </w:p>
    <w:p w14:paraId="05ED4AA0" w14:textId="77777777" w:rsidR="00A772F3" w:rsidRDefault="00A363DB" w:rsidP="009B0466">
      <w:pPr>
        <w:spacing w:line="480" w:lineRule="auto"/>
        <w:jc w:val="center"/>
        <w:rPr>
          <w:rFonts w:ascii="宋体" w:hAnsi="宋体"/>
          <w:b/>
          <w:szCs w:val="21"/>
        </w:rPr>
      </w:pPr>
      <w:r>
        <w:rPr>
          <w:rFonts w:ascii="宋体" w:hAnsi="宋体" w:hint="eastAsia"/>
          <w:b/>
          <w:szCs w:val="21"/>
        </w:rPr>
        <w:t>第一部分：会计报表</w:t>
      </w:r>
      <w:r w:rsidR="00A772F3" w:rsidRPr="00EF0C2F">
        <w:rPr>
          <w:rFonts w:ascii="宋体" w:hAnsi="宋体" w:hint="eastAsia"/>
          <w:b/>
          <w:szCs w:val="21"/>
        </w:rPr>
        <w:t>阅读</w:t>
      </w:r>
      <w:r>
        <w:rPr>
          <w:rFonts w:ascii="宋体" w:hAnsi="宋体" w:hint="eastAsia"/>
          <w:b/>
          <w:szCs w:val="21"/>
        </w:rPr>
        <w:t>与分析</w:t>
      </w:r>
    </w:p>
    <w:p w14:paraId="7B54882E" w14:textId="77777777" w:rsidR="00446343" w:rsidRDefault="00446343" w:rsidP="009B0466">
      <w:pPr>
        <w:spacing w:line="480" w:lineRule="auto"/>
        <w:rPr>
          <w:rFonts w:ascii="宋体" w:hAnsi="宋体"/>
          <w:szCs w:val="21"/>
        </w:rPr>
      </w:pPr>
      <w:r>
        <w:rPr>
          <w:rFonts w:ascii="宋体" w:hAnsi="宋体" w:hint="eastAsia"/>
          <w:szCs w:val="21"/>
        </w:rPr>
        <w:t>一、现代财务管理的两大特点与两大基本原则</w:t>
      </w:r>
    </w:p>
    <w:p w14:paraId="74F9456B" w14:textId="77777777" w:rsidR="00446343" w:rsidRDefault="00446343" w:rsidP="009B0466">
      <w:pPr>
        <w:spacing w:line="480" w:lineRule="auto"/>
        <w:rPr>
          <w:rFonts w:ascii="宋体" w:hAnsi="宋体"/>
          <w:szCs w:val="21"/>
        </w:rPr>
      </w:pPr>
      <w:r>
        <w:rPr>
          <w:rFonts w:ascii="宋体" w:hAnsi="宋体" w:hint="eastAsia"/>
          <w:szCs w:val="21"/>
        </w:rPr>
        <w:t>（一）现代财务管理的两大特点</w:t>
      </w:r>
    </w:p>
    <w:p w14:paraId="19E90BB1" w14:textId="77777777" w:rsidR="00446343" w:rsidRDefault="00446343" w:rsidP="009B0466">
      <w:pPr>
        <w:spacing w:line="480" w:lineRule="auto"/>
        <w:rPr>
          <w:rFonts w:ascii="宋体" w:hAnsi="宋体"/>
          <w:szCs w:val="21"/>
        </w:rPr>
      </w:pPr>
      <w:r>
        <w:rPr>
          <w:rFonts w:ascii="宋体" w:hAnsi="宋体" w:hint="eastAsia"/>
          <w:szCs w:val="21"/>
        </w:rPr>
        <w:t>1）强调三大活动的综合管理              2）强调三张报表的综合管理</w:t>
      </w:r>
    </w:p>
    <w:p w14:paraId="1C72357B" w14:textId="77777777" w:rsidR="00446343" w:rsidRDefault="00446343" w:rsidP="009B0466">
      <w:pPr>
        <w:spacing w:line="480" w:lineRule="auto"/>
        <w:rPr>
          <w:rFonts w:ascii="宋体" w:hAnsi="宋体"/>
          <w:szCs w:val="21"/>
        </w:rPr>
      </w:pPr>
      <w:r>
        <w:rPr>
          <w:rFonts w:ascii="宋体" w:hAnsi="宋体" w:hint="eastAsia"/>
          <w:szCs w:val="21"/>
        </w:rPr>
        <w:lastRenderedPageBreak/>
        <w:t>（二）现代财务管理的两大基本原则</w:t>
      </w:r>
    </w:p>
    <w:p w14:paraId="647A81A7" w14:textId="77777777" w:rsidR="00446343" w:rsidRDefault="00446343" w:rsidP="009B0466">
      <w:pPr>
        <w:spacing w:line="480" w:lineRule="auto"/>
        <w:rPr>
          <w:rFonts w:ascii="宋体" w:hAnsi="宋体"/>
          <w:szCs w:val="21"/>
        </w:rPr>
      </w:pPr>
      <w:r>
        <w:rPr>
          <w:rFonts w:ascii="宋体" w:hAnsi="宋体" w:hint="eastAsia"/>
          <w:szCs w:val="21"/>
        </w:rPr>
        <w:t>1）资金时间价值原则                    2）风险与收益对等原则</w:t>
      </w:r>
    </w:p>
    <w:p w14:paraId="4ACCD8EE" w14:textId="77777777" w:rsidR="004D5B6D" w:rsidRPr="00EF0C2F" w:rsidRDefault="00446343" w:rsidP="009B0466">
      <w:pPr>
        <w:spacing w:line="480" w:lineRule="auto"/>
        <w:rPr>
          <w:rFonts w:ascii="宋体" w:hAnsi="宋体"/>
          <w:szCs w:val="21"/>
        </w:rPr>
      </w:pPr>
      <w:r>
        <w:rPr>
          <w:rFonts w:ascii="宋体" w:hAnsi="宋体" w:hint="eastAsia"/>
          <w:szCs w:val="21"/>
        </w:rPr>
        <w:t>二</w:t>
      </w:r>
      <w:r w:rsidR="004D5B6D" w:rsidRPr="00EF0C2F">
        <w:rPr>
          <w:rFonts w:ascii="宋体" w:hAnsi="宋体" w:hint="eastAsia"/>
          <w:szCs w:val="21"/>
        </w:rPr>
        <w:t>、</w:t>
      </w:r>
      <w:r w:rsidR="00CD4BC3">
        <w:rPr>
          <w:rFonts w:ascii="宋体" w:hAnsi="宋体" w:hint="eastAsia"/>
          <w:szCs w:val="21"/>
        </w:rPr>
        <w:t>会计基础知识</w:t>
      </w:r>
    </w:p>
    <w:p w14:paraId="2FAB0691" w14:textId="77777777" w:rsidR="00CD4BC3" w:rsidRPr="00920958" w:rsidRDefault="00CD4BC3"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w:t>
      </w:r>
      <w:r>
        <w:rPr>
          <w:rFonts w:ascii="宋体" w:hAnsi="宋体" w:cs="宋体" w:hint="eastAsia"/>
          <w:color w:val="000000"/>
          <w:kern w:val="0"/>
          <w:szCs w:val="21"/>
          <w:lang w:val="zh-CN"/>
        </w:rPr>
        <w:t>一</w:t>
      </w:r>
      <w:r w:rsidRPr="00920958">
        <w:rPr>
          <w:rFonts w:ascii="宋体" w:hAnsi="宋体" w:cs="宋体" w:hint="eastAsia"/>
          <w:color w:val="000000"/>
          <w:kern w:val="0"/>
          <w:szCs w:val="21"/>
          <w:lang w:val="zh-CN"/>
        </w:rPr>
        <w:t>）</w:t>
      </w:r>
      <w:r w:rsidR="009B0466">
        <w:rPr>
          <w:rFonts w:ascii="宋体" w:hAnsi="宋体" w:cs="宋体" w:hint="eastAsia"/>
          <w:color w:val="000000"/>
          <w:kern w:val="0"/>
          <w:szCs w:val="21"/>
          <w:lang w:val="zh-CN"/>
        </w:rPr>
        <w:t>化繁为简了解财务知识的工具：</w:t>
      </w:r>
      <w:r w:rsidRPr="00920958">
        <w:rPr>
          <w:rFonts w:ascii="宋体" w:hAnsi="宋体" w:cs="宋体" w:hint="eastAsia"/>
          <w:color w:val="000000"/>
          <w:kern w:val="0"/>
          <w:szCs w:val="21"/>
          <w:lang w:val="zh-CN"/>
        </w:rPr>
        <w:t>会计要素</w:t>
      </w:r>
    </w:p>
    <w:p w14:paraId="4F27B5ED" w14:textId="77777777" w:rsidR="00CD4BC3" w:rsidRPr="00920958" w:rsidRDefault="00CD4BC3"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1）资产     2）负债    3）所有者权益    4）收入    5）费用      6）利润</w:t>
      </w:r>
    </w:p>
    <w:p w14:paraId="417B295A" w14:textId="77777777" w:rsidR="00CD4BC3" w:rsidRPr="00920958" w:rsidRDefault="00CD4BC3"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w:t>
      </w:r>
      <w:r>
        <w:rPr>
          <w:rFonts w:ascii="宋体" w:hAnsi="宋体" w:cs="宋体" w:hint="eastAsia"/>
          <w:color w:val="000000"/>
          <w:kern w:val="0"/>
          <w:szCs w:val="21"/>
          <w:lang w:val="zh-CN"/>
        </w:rPr>
        <w:t>二</w:t>
      </w:r>
      <w:r w:rsidRPr="00920958">
        <w:rPr>
          <w:rFonts w:ascii="宋体" w:hAnsi="宋体" w:cs="宋体" w:hint="eastAsia"/>
          <w:color w:val="000000"/>
          <w:kern w:val="0"/>
          <w:szCs w:val="21"/>
          <w:lang w:val="zh-CN"/>
        </w:rPr>
        <w:t>）</w:t>
      </w:r>
      <w:r w:rsidR="009B0466">
        <w:rPr>
          <w:rFonts w:ascii="宋体" w:hAnsi="宋体" w:cs="宋体" w:hint="eastAsia"/>
          <w:color w:val="000000"/>
          <w:kern w:val="0"/>
          <w:szCs w:val="21"/>
          <w:lang w:val="zh-CN"/>
        </w:rPr>
        <w:t>了解财务知识的根基与基础：</w:t>
      </w:r>
      <w:r w:rsidRPr="00920958">
        <w:rPr>
          <w:rFonts w:ascii="宋体" w:hAnsi="宋体" w:cs="宋体" w:hint="eastAsia"/>
          <w:color w:val="000000"/>
          <w:kern w:val="0"/>
          <w:szCs w:val="21"/>
          <w:lang w:val="zh-CN"/>
        </w:rPr>
        <w:t>会计恒等式</w:t>
      </w:r>
    </w:p>
    <w:p w14:paraId="2CEE3CE2" w14:textId="77777777" w:rsidR="004D5B6D" w:rsidRPr="00CD4BC3" w:rsidRDefault="00CD4BC3"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 xml:space="preserve">1）现代复式记账法             </w:t>
      </w:r>
      <w:r>
        <w:rPr>
          <w:rFonts w:ascii="宋体" w:hAnsi="宋体" w:cs="宋体" w:hint="eastAsia"/>
          <w:color w:val="000000"/>
          <w:kern w:val="0"/>
          <w:szCs w:val="21"/>
          <w:lang w:val="zh-CN"/>
        </w:rPr>
        <w:t xml:space="preserve">       </w:t>
      </w:r>
      <w:r w:rsidRPr="00920958">
        <w:rPr>
          <w:rFonts w:ascii="宋体" w:hAnsi="宋体" w:cs="宋体" w:hint="eastAsia"/>
          <w:color w:val="000000"/>
          <w:kern w:val="0"/>
          <w:szCs w:val="21"/>
          <w:lang w:val="zh-CN"/>
        </w:rPr>
        <w:t xml:space="preserve"> 2）会计恒等式</w:t>
      </w:r>
    </w:p>
    <w:p w14:paraId="4AA2861D" w14:textId="77777777" w:rsidR="00A772F3" w:rsidRDefault="00446343" w:rsidP="009B0466">
      <w:pPr>
        <w:spacing w:line="480" w:lineRule="auto"/>
        <w:rPr>
          <w:rFonts w:ascii="宋体" w:hAnsi="宋体"/>
          <w:szCs w:val="21"/>
        </w:rPr>
      </w:pPr>
      <w:r>
        <w:rPr>
          <w:rFonts w:ascii="宋体" w:hAnsi="宋体" w:hint="eastAsia"/>
          <w:szCs w:val="21"/>
        </w:rPr>
        <w:t>三</w:t>
      </w:r>
      <w:r w:rsidR="002E5B6A" w:rsidRPr="00EF0C2F">
        <w:rPr>
          <w:rFonts w:ascii="宋体" w:hAnsi="宋体" w:hint="eastAsia"/>
          <w:szCs w:val="21"/>
        </w:rPr>
        <w:t>、</w:t>
      </w:r>
      <w:r w:rsidR="00A772F3" w:rsidRPr="00EF0C2F">
        <w:rPr>
          <w:rFonts w:ascii="宋体" w:hAnsi="宋体" w:hint="eastAsia"/>
          <w:szCs w:val="21"/>
        </w:rPr>
        <w:t>资产负债表的阅读</w:t>
      </w:r>
      <w:r w:rsidR="00A363DB">
        <w:rPr>
          <w:rFonts w:ascii="宋体" w:hAnsi="宋体" w:hint="eastAsia"/>
          <w:szCs w:val="21"/>
        </w:rPr>
        <w:t>与分析</w:t>
      </w:r>
    </w:p>
    <w:p w14:paraId="57FFE279" w14:textId="77777777" w:rsidR="00A363DB" w:rsidRDefault="00A363DB" w:rsidP="009B0466">
      <w:pPr>
        <w:spacing w:line="480" w:lineRule="auto"/>
        <w:rPr>
          <w:rFonts w:ascii="宋体" w:hAnsi="宋体"/>
          <w:szCs w:val="21"/>
        </w:rPr>
      </w:pPr>
      <w:r>
        <w:rPr>
          <w:rFonts w:ascii="宋体" w:hAnsi="宋体" w:hint="eastAsia"/>
          <w:szCs w:val="21"/>
        </w:rPr>
        <w:t>（一）</w:t>
      </w:r>
      <w:r w:rsidRPr="00EF0C2F">
        <w:rPr>
          <w:rFonts w:ascii="宋体" w:hAnsi="宋体" w:hint="eastAsia"/>
          <w:szCs w:val="21"/>
        </w:rPr>
        <w:t>资产负债表</w:t>
      </w:r>
      <w:r>
        <w:rPr>
          <w:rFonts w:ascii="宋体" w:hAnsi="宋体" w:hint="eastAsia"/>
          <w:szCs w:val="21"/>
        </w:rPr>
        <w:t>的结构与原理</w:t>
      </w:r>
    </w:p>
    <w:p w14:paraId="0EA010EE" w14:textId="77777777" w:rsidR="00A363DB" w:rsidRPr="00A363DB" w:rsidRDefault="00A363DB" w:rsidP="009B0466">
      <w:pPr>
        <w:spacing w:line="480" w:lineRule="auto"/>
        <w:rPr>
          <w:rFonts w:ascii="宋体" w:hAnsi="宋体"/>
          <w:bCs/>
          <w:szCs w:val="21"/>
        </w:rPr>
      </w:pPr>
      <w:r w:rsidRPr="00A363DB">
        <w:rPr>
          <w:rFonts w:ascii="宋体" w:hAnsi="宋体" w:hint="eastAsia"/>
          <w:szCs w:val="21"/>
        </w:rPr>
        <w:t>1）资产负债表的结构                   2）</w:t>
      </w:r>
      <w:r w:rsidRPr="00A363DB">
        <w:rPr>
          <w:rFonts w:ascii="宋体" w:hAnsi="宋体" w:hint="eastAsia"/>
          <w:bCs/>
          <w:szCs w:val="21"/>
        </w:rPr>
        <w:t>资产流动性的涵义与判断标准</w:t>
      </w:r>
    </w:p>
    <w:p w14:paraId="2DB62D30" w14:textId="77777777" w:rsidR="00A363DB" w:rsidRPr="00A363DB" w:rsidRDefault="00A363DB" w:rsidP="009B0466">
      <w:pPr>
        <w:spacing w:line="480" w:lineRule="auto"/>
        <w:rPr>
          <w:rFonts w:ascii="宋体" w:hAnsi="宋体"/>
          <w:bCs/>
          <w:szCs w:val="21"/>
        </w:rPr>
      </w:pPr>
      <w:r w:rsidRPr="00A363DB">
        <w:rPr>
          <w:rFonts w:ascii="宋体" w:hAnsi="宋体" w:hint="eastAsia"/>
          <w:bCs/>
          <w:szCs w:val="21"/>
        </w:rPr>
        <w:t>3）负债流动性的涵义与判断标准</w:t>
      </w:r>
    </w:p>
    <w:p w14:paraId="40F06327" w14:textId="77777777" w:rsidR="00A363DB" w:rsidRPr="00A363DB" w:rsidRDefault="00A363DB" w:rsidP="009B0466">
      <w:pPr>
        <w:spacing w:line="480" w:lineRule="auto"/>
        <w:rPr>
          <w:rFonts w:ascii="宋体" w:hAnsi="宋体"/>
          <w:szCs w:val="21"/>
        </w:rPr>
      </w:pPr>
      <w:r>
        <w:rPr>
          <w:rFonts w:ascii="宋体" w:hAnsi="宋体" w:hint="eastAsia"/>
          <w:b/>
          <w:bCs/>
          <w:szCs w:val="21"/>
        </w:rPr>
        <w:t>（二）</w:t>
      </w:r>
      <w:r>
        <w:rPr>
          <w:rFonts w:ascii="宋体" w:hAnsi="宋体" w:hint="eastAsia"/>
          <w:szCs w:val="21"/>
        </w:rPr>
        <w:t>资产负债表主要项目解读</w:t>
      </w:r>
    </w:p>
    <w:p w14:paraId="6118AB67" w14:textId="77777777" w:rsidR="002E5B6A" w:rsidRPr="00EF0C2F" w:rsidRDefault="00FA1003" w:rsidP="009B0466">
      <w:pPr>
        <w:spacing w:line="480" w:lineRule="auto"/>
        <w:rPr>
          <w:rFonts w:ascii="宋体" w:hAnsi="宋体"/>
          <w:szCs w:val="21"/>
        </w:rPr>
      </w:pPr>
      <w:r>
        <w:rPr>
          <w:rFonts w:ascii="宋体" w:hAnsi="宋体" w:hint="eastAsia"/>
          <w:szCs w:val="21"/>
        </w:rPr>
        <w:t>1</w:t>
      </w:r>
      <w:r w:rsidR="002E5B6A" w:rsidRPr="00EF0C2F">
        <w:rPr>
          <w:rFonts w:ascii="宋体" w:hAnsi="宋体" w:hint="eastAsia"/>
          <w:szCs w:val="21"/>
        </w:rPr>
        <w:t>）货币资金是企业的血液</w:t>
      </w:r>
      <w:r>
        <w:rPr>
          <w:rFonts w:ascii="宋体" w:hAnsi="宋体" w:hint="eastAsia"/>
          <w:szCs w:val="21"/>
        </w:rPr>
        <w:t xml:space="preserve">               2</w:t>
      </w:r>
      <w:r w:rsidR="002E5B6A" w:rsidRPr="00EF0C2F">
        <w:rPr>
          <w:rFonts w:ascii="宋体" w:hAnsi="宋体" w:hint="eastAsia"/>
          <w:szCs w:val="21"/>
        </w:rPr>
        <w:t>）债权的构成以及应收账款的管理</w:t>
      </w:r>
    </w:p>
    <w:p w14:paraId="0A747F43" w14:textId="77777777" w:rsidR="002E5B6A" w:rsidRPr="00EF0C2F" w:rsidRDefault="00FA1003" w:rsidP="009B0466">
      <w:pPr>
        <w:spacing w:line="480" w:lineRule="auto"/>
        <w:rPr>
          <w:rFonts w:ascii="宋体" w:hAnsi="宋体"/>
          <w:szCs w:val="21"/>
        </w:rPr>
      </w:pPr>
      <w:r>
        <w:rPr>
          <w:rFonts w:ascii="宋体" w:hAnsi="宋体" w:hint="eastAsia"/>
          <w:szCs w:val="21"/>
        </w:rPr>
        <w:t>3</w:t>
      </w:r>
      <w:r w:rsidR="002E5B6A" w:rsidRPr="00EF0C2F">
        <w:rPr>
          <w:rFonts w:ascii="宋体" w:hAnsi="宋体" w:hint="eastAsia"/>
          <w:szCs w:val="21"/>
        </w:rPr>
        <w:t>）存货的构成以及存货的管理</w:t>
      </w:r>
      <w:r>
        <w:rPr>
          <w:rFonts w:ascii="宋体" w:hAnsi="宋体" w:hint="eastAsia"/>
          <w:szCs w:val="21"/>
        </w:rPr>
        <w:t xml:space="preserve">           4</w:t>
      </w:r>
      <w:r w:rsidR="002E5B6A" w:rsidRPr="00EF0C2F">
        <w:rPr>
          <w:rFonts w:ascii="宋体" w:hAnsi="宋体" w:hint="eastAsia"/>
          <w:szCs w:val="21"/>
        </w:rPr>
        <w:t>）固定资产的投资抉择与管理</w:t>
      </w:r>
    </w:p>
    <w:p w14:paraId="3242F5F2" w14:textId="7A2FDCAF" w:rsidR="002E5B6A" w:rsidRPr="00EF0C2F" w:rsidRDefault="00FA1003" w:rsidP="009B0466">
      <w:pPr>
        <w:spacing w:line="480" w:lineRule="auto"/>
        <w:rPr>
          <w:rFonts w:ascii="宋体" w:hAnsi="宋体"/>
          <w:szCs w:val="21"/>
        </w:rPr>
      </w:pPr>
      <w:r>
        <w:rPr>
          <w:rFonts w:ascii="宋体" w:hAnsi="宋体" w:hint="eastAsia"/>
          <w:szCs w:val="21"/>
        </w:rPr>
        <w:t>5</w:t>
      </w:r>
      <w:r w:rsidR="002E5B6A" w:rsidRPr="00EF0C2F">
        <w:rPr>
          <w:rFonts w:ascii="宋体" w:hAnsi="宋体" w:hint="eastAsia"/>
          <w:szCs w:val="21"/>
        </w:rPr>
        <w:t>）无形资产重要性凸显</w:t>
      </w:r>
      <w:r>
        <w:rPr>
          <w:rFonts w:ascii="宋体" w:hAnsi="宋体" w:hint="eastAsia"/>
          <w:szCs w:val="21"/>
        </w:rPr>
        <w:t xml:space="preserve">                 6</w:t>
      </w:r>
      <w:r w:rsidR="002E5B6A" w:rsidRPr="00EF0C2F">
        <w:rPr>
          <w:rFonts w:ascii="宋体" w:hAnsi="宋体" w:hint="eastAsia"/>
          <w:szCs w:val="21"/>
        </w:rPr>
        <w:t>）债务的构成与商业信用融资方式的正确使用</w:t>
      </w:r>
    </w:p>
    <w:p w14:paraId="4DE21F21" w14:textId="77777777" w:rsidR="002E5B6A" w:rsidRPr="00EF0C2F" w:rsidRDefault="00FA1003" w:rsidP="009B0466">
      <w:pPr>
        <w:spacing w:line="480" w:lineRule="auto"/>
        <w:rPr>
          <w:rFonts w:ascii="宋体" w:hAnsi="宋体"/>
          <w:szCs w:val="21"/>
        </w:rPr>
      </w:pPr>
      <w:r>
        <w:rPr>
          <w:rFonts w:ascii="宋体" w:hAnsi="宋体" w:hint="eastAsia"/>
          <w:szCs w:val="21"/>
        </w:rPr>
        <w:t>7</w:t>
      </w:r>
      <w:r w:rsidR="002E5B6A" w:rsidRPr="00EF0C2F">
        <w:rPr>
          <w:rFonts w:ascii="宋体" w:hAnsi="宋体" w:hint="eastAsia"/>
          <w:szCs w:val="21"/>
        </w:rPr>
        <w:t>）所有者权益的构成与资本的重要性</w:t>
      </w:r>
    </w:p>
    <w:p w14:paraId="76D10323" w14:textId="77777777" w:rsidR="00A772F3" w:rsidRDefault="00446343" w:rsidP="009B0466">
      <w:pPr>
        <w:spacing w:line="480" w:lineRule="auto"/>
        <w:rPr>
          <w:rFonts w:ascii="宋体" w:hAnsi="宋体"/>
          <w:szCs w:val="21"/>
        </w:rPr>
      </w:pPr>
      <w:r>
        <w:rPr>
          <w:rFonts w:ascii="宋体" w:hAnsi="宋体" w:hint="eastAsia"/>
          <w:szCs w:val="21"/>
        </w:rPr>
        <w:t>四</w:t>
      </w:r>
      <w:r w:rsidR="002E5B6A" w:rsidRPr="00EF0C2F">
        <w:rPr>
          <w:rFonts w:ascii="宋体" w:hAnsi="宋体" w:hint="eastAsia"/>
          <w:szCs w:val="21"/>
        </w:rPr>
        <w:t>、</w:t>
      </w:r>
      <w:r w:rsidR="001E4A4C" w:rsidRPr="00EF0C2F">
        <w:rPr>
          <w:rFonts w:ascii="宋体" w:hAnsi="宋体" w:hint="eastAsia"/>
          <w:szCs w:val="21"/>
        </w:rPr>
        <w:t>利润</w:t>
      </w:r>
      <w:r w:rsidR="00A772F3" w:rsidRPr="00EF0C2F">
        <w:rPr>
          <w:rFonts w:ascii="宋体" w:hAnsi="宋体" w:hint="eastAsia"/>
          <w:szCs w:val="21"/>
        </w:rPr>
        <w:t>表的阅读</w:t>
      </w:r>
      <w:r w:rsidR="00A363DB">
        <w:rPr>
          <w:rFonts w:ascii="宋体" w:hAnsi="宋体" w:hint="eastAsia"/>
          <w:szCs w:val="21"/>
        </w:rPr>
        <w:t>与分析</w:t>
      </w:r>
    </w:p>
    <w:p w14:paraId="4B7240DD" w14:textId="77777777" w:rsidR="00A363DB" w:rsidRPr="00EF0C2F" w:rsidRDefault="00A363DB" w:rsidP="009B0466">
      <w:pPr>
        <w:spacing w:line="480" w:lineRule="auto"/>
        <w:rPr>
          <w:rFonts w:ascii="宋体" w:hAnsi="宋体"/>
          <w:szCs w:val="21"/>
        </w:rPr>
      </w:pPr>
      <w:r>
        <w:rPr>
          <w:rFonts w:ascii="宋体" w:hAnsi="宋体" w:hint="eastAsia"/>
          <w:szCs w:val="21"/>
        </w:rPr>
        <w:t>（一）利润表主要项目解读</w:t>
      </w:r>
    </w:p>
    <w:p w14:paraId="792F2E88" w14:textId="77777777" w:rsidR="00610B78" w:rsidRPr="00EF0C2F" w:rsidRDefault="00FA1003" w:rsidP="009B0466">
      <w:pPr>
        <w:spacing w:line="480" w:lineRule="auto"/>
        <w:rPr>
          <w:rFonts w:ascii="宋体" w:hAnsi="宋体"/>
          <w:szCs w:val="21"/>
        </w:rPr>
      </w:pPr>
      <w:r>
        <w:rPr>
          <w:rFonts w:ascii="宋体" w:hAnsi="宋体" w:hint="eastAsia"/>
          <w:szCs w:val="21"/>
        </w:rPr>
        <w:t>1</w:t>
      </w:r>
      <w:r w:rsidR="00610B78" w:rsidRPr="00EF0C2F">
        <w:rPr>
          <w:rFonts w:ascii="宋体" w:hAnsi="宋体" w:hint="eastAsia"/>
          <w:szCs w:val="21"/>
        </w:rPr>
        <w:t>）销售成本的形成过程与成本控制</w:t>
      </w:r>
      <w:r>
        <w:rPr>
          <w:rFonts w:ascii="宋体" w:hAnsi="宋体" w:hint="eastAsia"/>
          <w:szCs w:val="21"/>
        </w:rPr>
        <w:t xml:space="preserve">       2</w:t>
      </w:r>
      <w:r w:rsidR="00610B78" w:rsidRPr="00EF0C2F">
        <w:rPr>
          <w:rFonts w:ascii="宋体" w:hAnsi="宋体" w:hint="eastAsia"/>
          <w:szCs w:val="21"/>
        </w:rPr>
        <w:t>）管理费用、</w:t>
      </w:r>
      <w:r w:rsidR="00020BE4">
        <w:rPr>
          <w:rFonts w:ascii="宋体" w:hAnsi="宋体" w:hint="eastAsia"/>
          <w:szCs w:val="21"/>
        </w:rPr>
        <w:t>销售</w:t>
      </w:r>
      <w:r>
        <w:rPr>
          <w:rFonts w:ascii="宋体" w:hAnsi="宋体" w:hint="eastAsia"/>
          <w:szCs w:val="21"/>
        </w:rPr>
        <w:t>费用与</w:t>
      </w:r>
      <w:r w:rsidR="00610B78" w:rsidRPr="00EF0C2F">
        <w:rPr>
          <w:rFonts w:ascii="宋体" w:hAnsi="宋体" w:hint="eastAsia"/>
          <w:szCs w:val="21"/>
        </w:rPr>
        <w:t>财务费用</w:t>
      </w:r>
    </w:p>
    <w:p w14:paraId="221905DA" w14:textId="77777777" w:rsidR="00610B78" w:rsidRDefault="00FA1003" w:rsidP="009B0466">
      <w:pPr>
        <w:spacing w:line="480" w:lineRule="auto"/>
        <w:rPr>
          <w:rFonts w:ascii="宋体" w:hAnsi="宋体"/>
          <w:szCs w:val="21"/>
        </w:rPr>
      </w:pPr>
      <w:r>
        <w:rPr>
          <w:rFonts w:ascii="宋体" w:hAnsi="宋体" w:hint="eastAsia"/>
          <w:szCs w:val="21"/>
        </w:rPr>
        <w:t>3</w:t>
      </w:r>
      <w:r w:rsidR="00610B78" w:rsidRPr="00EF0C2F">
        <w:rPr>
          <w:rFonts w:ascii="宋体" w:hAnsi="宋体" w:hint="eastAsia"/>
          <w:szCs w:val="21"/>
        </w:rPr>
        <w:t>）税金对企业损益的影响</w:t>
      </w:r>
    </w:p>
    <w:p w14:paraId="35024C25" w14:textId="77777777" w:rsidR="00A363DB" w:rsidRDefault="00A363DB" w:rsidP="009B0466">
      <w:pPr>
        <w:spacing w:line="480" w:lineRule="auto"/>
        <w:rPr>
          <w:rFonts w:ascii="宋体" w:hAnsi="宋体"/>
          <w:szCs w:val="21"/>
        </w:rPr>
      </w:pPr>
      <w:r>
        <w:rPr>
          <w:rFonts w:ascii="宋体" w:hAnsi="宋体" w:hint="eastAsia"/>
          <w:szCs w:val="21"/>
        </w:rPr>
        <w:t>（二）利润</w:t>
      </w:r>
      <w:proofErr w:type="gramStart"/>
      <w:r>
        <w:rPr>
          <w:rFonts w:ascii="宋体" w:hAnsi="宋体" w:hint="eastAsia"/>
          <w:szCs w:val="21"/>
        </w:rPr>
        <w:t>表分析</w:t>
      </w:r>
      <w:proofErr w:type="gramEnd"/>
      <w:r>
        <w:rPr>
          <w:rFonts w:ascii="宋体" w:hAnsi="宋体" w:hint="eastAsia"/>
          <w:szCs w:val="21"/>
        </w:rPr>
        <w:t>的重点</w:t>
      </w:r>
    </w:p>
    <w:p w14:paraId="342FFA03" w14:textId="77777777" w:rsidR="00A363DB" w:rsidRPr="00EF0C2F" w:rsidRDefault="00A363DB" w:rsidP="009B0466">
      <w:pPr>
        <w:spacing w:line="480" w:lineRule="auto"/>
        <w:rPr>
          <w:rFonts w:ascii="宋体" w:hAnsi="宋体"/>
          <w:szCs w:val="21"/>
        </w:rPr>
      </w:pPr>
      <w:r>
        <w:rPr>
          <w:rFonts w:ascii="宋体" w:hAnsi="宋体" w:hint="eastAsia"/>
          <w:szCs w:val="21"/>
        </w:rPr>
        <w:t>1）非经常性项目                       2）稳健性与盈余质量</w:t>
      </w:r>
    </w:p>
    <w:p w14:paraId="2F972560" w14:textId="77777777" w:rsidR="00A772F3" w:rsidRDefault="00446343" w:rsidP="009B0466">
      <w:pPr>
        <w:spacing w:line="480" w:lineRule="auto"/>
        <w:rPr>
          <w:rFonts w:ascii="宋体" w:hAnsi="宋体"/>
          <w:szCs w:val="21"/>
        </w:rPr>
      </w:pPr>
      <w:r>
        <w:rPr>
          <w:rFonts w:ascii="宋体" w:hAnsi="宋体" w:hint="eastAsia"/>
          <w:szCs w:val="21"/>
        </w:rPr>
        <w:lastRenderedPageBreak/>
        <w:t>五</w:t>
      </w:r>
      <w:r w:rsidR="002E5B6A" w:rsidRPr="00EF0C2F">
        <w:rPr>
          <w:rFonts w:ascii="宋体" w:hAnsi="宋体" w:hint="eastAsia"/>
          <w:szCs w:val="21"/>
        </w:rPr>
        <w:t>、</w:t>
      </w:r>
      <w:r w:rsidR="00A772F3" w:rsidRPr="00EF0C2F">
        <w:rPr>
          <w:rFonts w:ascii="宋体" w:hAnsi="宋体" w:hint="eastAsia"/>
          <w:szCs w:val="21"/>
        </w:rPr>
        <w:t>现金流量表的阅读</w:t>
      </w:r>
      <w:r w:rsidR="00A363DB">
        <w:rPr>
          <w:rFonts w:ascii="宋体" w:hAnsi="宋体" w:hint="eastAsia"/>
          <w:szCs w:val="21"/>
        </w:rPr>
        <w:t>与分析</w:t>
      </w:r>
    </w:p>
    <w:p w14:paraId="54819703" w14:textId="77777777" w:rsidR="00A363DB" w:rsidRPr="00EF0C2F" w:rsidRDefault="00A363DB" w:rsidP="009B0466">
      <w:pPr>
        <w:spacing w:line="480" w:lineRule="auto"/>
        <w:rPr>
          <w:rFonts w:ascii="宋体" w:hAnsi="宋体"/>
          <w:szCs w:val="21"/>
        </w:rPr>
      </w:pPr>
      <w:r>
        <w:rPr>
          <w:rFonts w:ascii="宋体" w:hAnsi="宋体" w:hint="eastAsia"/>
          <w:szCs w:val="21"/>
        </w:rPr>
        <w:t>（一）现金流量表主要项目解读</w:t>
      </w:r>
    </w:p>
    <w:p w14:paraId="0A8B1E57" w14:textId="77777777" w:rsidR="00610B78" w:rsidRDefault="00FA1003" w:rsidP="009B0466">
      <w:pPr>
        <w:spacing w:line="480" w:lineRule="auto"/>
        <w:rPr>
          <w:rFonts w:ascii="宋体" w:hAnsi="宋体"/>
          <w:szCs w:val="21"/>
        </w:rPr>
      </w:pPr>
      <w:r>
        <w:rPr>
          <w:rFonts w:ascii="宋体" w:hAnsi="宋体" w:hint="eastAsia"/>
          <w:szCs w:val="21"/>
        </w:rPr>
        <w:t>1</w:t>
      </w:r>
      <w:r w:rsidR="00020BE4">
        <w:rPr>
          <w:rFonts w:ascii="宋体" w:hAnsi="宋体" w:hint="eastAsia"/>
          <w:szCs w:val="21"/>
        </w:rPr>
        <w:t>）现金流量</w:t>
      </w:r>
      <w:r w:rsidR="00610B78" w:rsidRPr="00EF0C2F">
        <w:rPr>
          <w:rFonts w:ascii="宋体" w:hAnsi="宋体" w:hint="eastAsia"/>
          <w:szCs w:val="21"/>
        </w:rPr>
        <w:t>表的</w:t>
      </w:r>
      <w:r w:rsidR="00020BE4">
        <w:rPr>
          <w:rFonts w:ascii="宋体" w:hAnsi="宋体" w:hint="eastAsia"/>
          <w:szCs w:val="21"/>
        </w:rPr>
        <w:t>结构</w:t>
      </w:r>
      <w:r>
        <w:rPr>
          <w:rFonts w:ascii="宋体" w:hAnsi="宋体" w:hint="eastAsia"/>
          <w:szCs w:val="21"/>
        </w:rPr>
        <w:t xml:space="preserve">                    2</w:t>
      </w:r>
      <w:r w:rsidR="00610B78" w:rsidRPr="00EF0C2F">
        <w:rPr>
          <w:rFonts w:ascii="宋体" w:hAnsi="宋体" w:hint="eastAsia"/>
          <w:szCs w:val="21"/>
        </w:rPr>
        <w:t>）现金流量</w:t>
      </w:r>
      <w:r w:rsidR="00020BE4">
        <w:rPr>
          <w:rFonts w:ascii="宋体" w:hAnsi="宋体" w:hint="eastAsia"/>
          <w:szCs w:val="21"/>
        </w:rPr>
        <w:t>表</w:t>
      </w:r>
      <w:r w:rsidR="00610B78" w:rsidRPr="00EF0C2F">
        <w:rPr>
          <w:rFonts w:ascii="宋体" w:hAnsi="宋体" w:hint="eastAsia"/>
          <w:szCs w:val="21"/>
        </w:rPr>
        <w:t>的阅读</w:t>
      </w:r>
      <w:r w:rsidR="00020BE4">
        <w:rPr>
          <w:rFonts w:ascii="宋体" w:hAnsi="宋体" w:hint="eastAsia"/>
          <w:szCs w:val="21"/>
        </w:rPr>
        <w:t>与分析</w:t>
      </w:r>
    </w:p>
    <w:p w14:paraId="1617B7B0" w14:textId="77777777" w:rsidR="00A363DB" w:rsidRPr="00A363DB" w:rsidRDefault="00A363DB" w:rsidP="009B0466">
      <w:pPr>
        <w:spacing w:line="480" w:lineRule="auto"/>
        <w:rPr>
          <w:rFonts w:ascii="宋体" w:hAnsi="宋体"/>
          <w:bCs/>
          <w:szCs w:val="21"/>
        </w:rPr>
      </w:pPr>
      <w:r w:rsidRPr="00A363DB">
        <w:rPr>
          <w:rFonts w:ascii="宋体" w:hAnsi="宋体" w:hint="eastAsia"/>
          <w:szCs w:val="21"/>
        </w:rPr>
        <w:t>（二）</w:t>
      </w:r>
      <w:r w:rsidRPr="00A363DB">
        <w:rPr>
          <w:rFonts w:ascii="宋体" w:hAnsi="宋体" w:hint="eastAsia"/>
          <w:bCs/>
          <w:szCs w:val="21"/>
        </w:rPr>
        <w:t>现金流量表的分析</w:t>
      </w:r>
    </w:p>
    <w:p w14:paraId="26EEAABD" w14:textId="77777777" w:rsidR="00A363DB" w:rsidRPr="00A363DB" w:rsidRDefault="00A363DB" w:rsidP="009B0466">
      <w:pPr>
        <w:spacing w:line="480" w:lineRule="auto"/>
        <w:rPr>
          <w:rFonts w:ascii="宋体" w:hAnsi="宋体"/>
          <w:bCs/>
          <w:szCs w:val="21"/>
        </w:rPr>
      </w:pPr>
      <w:r w:rsidRPr="00A363DB">
        <w:rPr>
          <w:rFonts w:ascii="宋体" w:hAnsi="宋体" w:hint="eastAsia"/>
          <w:bCs/>
          <w:szCs w:val="21"/>
        </w:rPr>
        <w:t>1）运转正常的现金流量                 2）现金流量结构分析</w:t>
      </w:r>
    </w:p>
    <w:p w14:paraId="2D18D94C" w14:textId="77777777" w:rsidR="00A363DB" w:rsidRPr="00A363DB" w:rsidRDefault="00A363DB" w:rsidP="009B0466">
      <w:pPr>
        <w:spacing w:line="480" w:lineRule="auto"/>
        <w:rPr>
          <w:rFonts w:ascii="宋体" w:hAnsi="宋体"/>
          <w:bCs/>
          <w:szCs w:val="21"/>
        </w:rPr>
      </w:pPr>
      <w:r w:rsidRPr="00A363DB">
        <w:rPr>
          <w:rFonts w:ascii="宋体" w:hAnsi="宋体" w:hint="eastAsia"/>
          <w:bCs/>
          <w:szCs w:val="21"/>
        </w:rPr>
        <w:t>3）通过现金流量表分析盈余质量         4）产业</w:t>
      </w:r>
      <w:proofErr w:type="gramStart"/>
      <w:r w:rsidRPr="00A363DB">
        <w:rPr>
          <w:rFonts w:ascii="宋体" w:hAnsi="宋体" w:hint="eastAsia"/>
          <w:bCs/>
          <w:szCs w:val="21"/>
        </w:rPr>
        <w:t>链地位</w:t>
      </w:r>
      <w:proofErr w:type="gramEnd"/>
      <w:r w:rsidRPr="00A363DB">
        <w:rPr>
          <w:rFonts w:ascii="宋体" w:hAnsi="宋体" w:hint="eastAsia"/>
          <w:bCs/>
          <w:szCs w:val="21"/>
        </w:rPr>
        <w:t>分析</w:t>
      </w:r>
    </w:p>
    <w:p w14:paraId="2D54FAC6" w14:textId="77777777" w:rsidR="00DA277F" w:rsidRDefault="00DA277F" w:rsidP="009B0466">
      <w:pPr>
        <w:spacing w:line="480" w:lineRule="auto"/>
        <w:jc w:val="center"/>
        <w:rPr>
          <w:rFonts w:ascii="宋体" w:hAnsi="宋体"/>
          <w:b/>
          <w:szCs w:val="21"/>
        </w:rPr>
      </w:pPr>
      <w:r w:rsidRPr="00EF0C2F">
        <w:rPr>
          <w:rFonts w:ascii="宋体" w:hAnsi="宋体" w:hint="eastAsia"/>
          <w:b/>
          <w:szCs w:val="21"/>
        </w:rPr>
        <w:t>第</w:t>
      </w:r>
      <w:r>
        <w:rPr>
          <w:rFonts w:ascii="宋体" w:hAnsi="宋体" w:hint="eastAsia"/>
          <w:b/>
          <w:szCs w:val="21"/>
        </w:rPr>
        <w:t>二</w:t>
      </w:r>
      <w:r w:rsidRPr="00EF0C2F">
        <w:rPr>
          <w:rFonts w:ascii="宋体" w:hAnsi="宋体" w:hint="eastAsia"/>
          <w:b/>
          <w:szCs w:val="21"/>
        </w:rPr>
        <w:t>部分：</w:t>
      </w:r>
      <w:r>
        <w:rPr>
          <w:rFonts w:ascii="宋体" w:hAnsi="宋体" w:hint="eastAsia"/>
          <w:b/>
          <w:szCs w:val="21"/>
        </w:rPr>
        <w:t>财务分析</w:t>
      </w:r>
    </w:p>
    <w:p w14:paraId="30254051" w14:textId="77777777" w:rsidR="002F1691" w:rsidRPr="002F1691" w:rsidRDefault="002F1691" w:rsidP="002F1691">
      <w:pPr>
        <w:pStyle w:val="a9"/>
        <w:numPr>
          <w:ilvl w:val="0"/>
          <w:numId w:val="1"/>
        </w:numPr>
        <w:tabs>
          <w:tab w:val="left" w:pos="602"/>
        </w:tabs>
        <w:autoSpaceDE w:val="0"/>
        <w:autoSpaceDN w:val="0"/>
        <w:adjustRightInd w:val="0"/>
        <w:spacing w:line="480" w:lineRule="auto"/>
        <w:ind w:firstLineChars="0"/>
        <w:jc w:val="left"/>
        <w:rPr>
          <w:rFonts w:ascii="宋体" w:hAnsi="宋体" w:cs="宋体"/>
          <w:color w:val="000000"/>
          <w:kern w:val="0"/>
          <w:szCs w:val="21"/>
          <w:lang w:val="zh-CN"/>
        </w:rPr>
      </w:pPr>
      <w:r w:rsidRPr="002F1691">
        <w:rPr>
          <w:rFonts w:ascii="宋体" w:hAnsi="宋体" w:cs="宋体" w:hint="eastAsia"/>
          <w:color w:val="000000"/>
          <w:kern w:val="0"/>
          <w:szCs w:val="21"/>
          <w:lang w:val="zh-CN"/>
        </w:rPr>
        <w:t>重新审视与认识财务分析</w:t>
      </w:r>
    </w:p>
    <w:p w14:paraId="20213AB8" w14:textId="77777777" w:rsidR="002F1691" w:rsidRDefault="002F1691" w:rsidP="002F1691">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1）财务分析的两大误区                  2）财务分析实务中的两大缺憾与不足</w:t>
      </w:r>
    </w:p>
    <w:p w14:paraId="35D66FC6" w14:textId="77777777" w:rsidR="002F1691" w:rsidRPr="002F1691" w:rsidRDefault="002F1691" w:rsidP="002F1691">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3）四大主流的财务分析方法</w:t>
      </w:r>
    </w:p>
    <w:p w14:paraId="7E8ACAFA" w14:textId="77777777" w:rsidR="00DA277F" w:rsidRPr="00C531C7" w:rsidRDefault="002F1691"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二</w:t>
      </w:r>
      <w:r w:rsidR="00A363DB">
        <w:rPr>
          <w:rFonts w:ascii="宋体" w:hAnsi="宋体" w:cs="宋体" w:hint="eastAsia"/>
          <w:color w:val="000000"/>
          <w:kern w:val="0"/>
          <w:szCs w:val="21"/>
          <w:lang w:val="zh-CN"/>
        </w:rPr>
        <w:t>、</w:t>
      </w:r>
      <w:r>
        <w:rPr>
          <w:rFonts w:ascii="宋体" w:hAnsi="宋体" w:cs="宋体" w:hint="eastAsia"/>
          <w:color w:val="000000"/>
          <w:kern w:val="0"/>
          <w:szCs w:val="21"/>
          <w:lang w:val="zh-CN"/>
        </w:rPr>
        <w:t>被高估的</w:t>
      </w:r>
      <w:r w:rsidR="00DA277F" w:rsidRPr="00C531C7">
        <w:rPr>
          <w:rFonts w:ascii="宋体" w:hAnsi="宋体" w:cs="宋体" w:hint="eastAsia"/>
          <w:color w:val="000000"/>
          <w:kern w:val="0"/>
          <w:szCs w:val="21"/>
          <w:lang w:val="zh-CN"/>
        </w:rPr>
        <w:t>财务比率分析</w:t>
      </w:r>
    </w:p>
    <w:p w14:paraId="2D99E709" w14:textId="77777777" w:rsidR="00DA277F" w:rsidRDefault="00DA277F"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sidRPr="00C531C7">
        <w:rPr>
          <w:rFonts w:ascii="宋体" w:hAnsi="宋体" w:cs="宋体" w:hint="eastAsia"/>
          <w:color w:val="000000"/>
          <w:kern w:val="0"/>
          <w:szCs w:val="21"/>
          <w:lang w:val="zh-CN"/>
        </w:rPr>
        <w:t>1）</w:t>
      </w:r>
      <w:r>
        <w:rPr>
          <w:rFonts w:ascii="宋体" w:hAnsi="宋体" w:cs="宋体" w:hint="eastAsia"/>
          <w:color w:val="000000"/>
          <w:kern w:val="0"/>
          <w:szCs w:val="21"/>
          <w:lang w:val="zh-CN"/>
        </w:rPr>
        <w:t>反映企业盈利能力的比率               2）反映企业偿债能力的比率</w:t>
      </w:r>
    </w:p>
    <w:p w14:paraId="044114D2" w14:textId="77777777" w:rsidR="00DA277F" w:rsidRDefault="00DA277F"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3）反映企业负债能力的比率               4）反映企业资产效率的比率</w:t>
      </w:r>
    </w:p>
    <w:p w14:paraId="4FC879E1" w14:textId="77777777" w:rsidR="00DA277F" w:rsidRDefault="002F1691"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三</w:t>
      </w:r>
      <w:r w:rsidR="00DA277F">
        <w:rPr>
          <w:rFonts w:ascii="宋体" w:hAnsi="宋体" w:cs="宋体" w:hint="eastAsia"/>
          <w:color w:val="000000"/>
          <w:kern w:val="0"/>
          <w:szCs w:val="21"/>
          <w:lang w:val="zh-CN"/>
        </w:rPr>
        <w:t>、杜邦综合分析</w:t>
      </w:r>
    </w:p>
    <w:p w14:paraId="58F8926A" w14:textId="525BF5A1" w:rsidR="001F31F9" w:rsidRDefault="00DA277F"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1）杜邦分析模型                         2）案例分享与关键绩效驱动因素</w:t>
      </w:r>
    </w:p>
    <w:p w14:paraId="2CEB097E" w14:textId="4D5F38F9" w:rsidR="00C902D9" w:rsidRDefault="00C902D9" w:rsidP="009B046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案例分析与讨论：报表分析如何帮助我们发现问题并寻求到改善问题的方法与思路</w:t>
      </w:r>
    </w:p>
    <w:p w14:paraId="5315D901" w14:textId="77777777" w:rsidR="00E726C2" w:rsidRDefault="00E726C2" w:rsidP="009B0466">
      <w:pPr>
        <w:widowControl/>
        <w:spacing w:line="480" w:lineRule="auto"/>
        <w:jc w:val="left"/>
        <w:rPr>
          <w:rFonts w:ascii="宋体" w:hAnsi="宋体"/>
          <w:b/>
          <w:szCs w:val="21"/>
        </w:rPr>
      </w:pPr>
      <w:r w:rsidRPr="00695455">
        <w:rPr>
          <w:rFonts w:ascii="宋体" w:hAnsi="宋体" w:hint="eastAsia"/>
          <w:b/>
          <w:szCs w:val="21"/>
        </w:rPr>
        <w:t>主讲</w:t>
      </w:r>
      <w:r w:rsidR="00EA67DF">
        <w:rPr>
          <w:rFonts w:ascii="宋体" w:hAnsi="宋体" w:hint="eastAsia"/>
          <w:b/>
          <w:szCs w:val="21"/>
        </w:rPr>
        <w:t>专家</w:t>
      </w:r>
      <w:r w:rsidRPr="00695455">
        <w:rPr>
          <w:rFonts w:ascii="宋体" w:hAnsi="宋体" w:hint="eastAsia"/>
          <w:b/>
          <w:szCs w:val="21"/>
        </w:rPr>
        <w:t>简介：</w:t>
      </w:r>
    </w:p>
    <w:p w14:paraId="6115DC6A" w14:textId="77777777" w:rsidR="00B76138" w:rsidRDefault="00B76138" w:rsidP="00B76138">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w:t>
      </w:r>
      <w:r>
        <w:rPr>
          <w:rFonts w:ascii="宋体" w:hAnsi="宋体" w:hint="eastAsia"/>
          <w:bCs/>
          <w:color w:val="000000"/>
          <w:szCs w:val="21"/>
        </w:rPr>
        <w:lastRenderedPageBreak/>
        <w:t>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1EB5C0ED" w14:textId="77777777" w:rsidR="00B76138" w:rsidRDefault="00B76138" w:rsidP="00B76138">
      <w:pPr>
        <w:spacing w:line="480" w:lineRule="auto"/>
        <w:rPr>
          <w:rFonts w:ascii="宋体" w:hAnsi="宋体"/>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w:t>
      </w:r>
      <w:r>
        <w:rPr>
          <w:rFonts w:ascii="宋体" w:hAnsi="宋体" w:hint="eastAsia"/>
          <w:bCs/>
          <w:color w:val="000000"/>
          <w:szCs w:val="21"/>
        </w:rPr>
        <w:lastRenderedPageBreak/>
        <w:t>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5524A5D4" w14:textId="7C87E67A" w:rsidR="009B0466" w:rsidRPr="009B0466" w:rsidRDefault="00B76138" w:rsidP="00F61B16">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9B0466" w:rsidRPr="009B0466" w:rsidSect="00F949A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A78D0" w14:textId="77777777" w:rsidR="005D66D9" w:rsidRDefault="005D66D9">
      <w:r>
        <w:separator/>
      </w:r>
    </w:p>
  </w:endnote>
  <w:endnote w:type="continuationSeparator" w:id="0">
    <w:p w14:paraId="059662FB" w14:textId="77777777" w:rsidR="005D66D9" w:rsidRDefault="005D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1CA9B" w14:textId="77777777" w:rsidR="005D66D9" w:rsidRDefault="005D66D9">
      <w:r>
        <w:separator/>
      </w:r>
    </w:p>
  </w:footnote>
  <w:footnote w:type="continuationSeparator" w:id="0">
    <w:p w14:paraId="1757CF6E" w14:textId="77777777" w:rsidR="005D66D9" w:rsidRDefault="005D6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8A90" w14:textId="77777777" w:rsidR="00A52EC5" w:rsidRDefault="00A52EC5" w:rsidP="00793811">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3882"/>
    <w:multiLevelType w:val="hybridMultilevel"/>
    <w:tmpl w:val="A3600E96"/>
    <w:lvl w:ilvl="0" w:tplc="DE70ED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37130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F3"/>
    <w:rsid w:val="00020BE4"/>
    <w:rsid w:val="00037FC9"/>
    <w:rsid w:val="0006294F"/>
    <w:rsid w:val="000837B9"/>
    <w:rsid w:val="000A33AA"/>
    <w:rsid w:val="000C64F6"/>
    <w:rsid w:val="000E7D4E"/>
    <w:rsid w:val="001A181E"/>
    <w:rsid w:val="001B14F3"/>
    <w:rsid w:val="001E4A4C"/>
    <w:rsid w:val="001F31F9"/>
    <w:rsid w:val="0020381B"/>
    <w:rsid w:val="00261684"/>
    <w:rsid w:val="002A1B23"/>
    <w:rsid w:val="002C2779"/>
    <w:rsid w:val="002E5B6A"/>
    <w:rsid w:val="002F1691"/>
    <w:rsid w:val="002F673D"/>
    <w:rsid w:val="00311717"/>
    <w:rsid w:val="003271B2"/>
    <w:rsid w:val="00343AD9"/>
    <w:rsid w:val="00357AD6"/>
    <w:rsid w:val="00367349"/>
    <w:rsid w:val="00382F97"/>
    <w:rsid w:val="00395DEF"/>
    <w:rsid w:val="003E3302"/>
    <w:rsid w:val="004100DE"/>
    <w:rsid w:val="00446343"/>
    <w:rsid w:val="004603DD"/>
    <w:rsid w:val="00494F6C"/>
    <w:rsid w:val="004A20F0"/>
    <w:rsid w:val="004A4BC5"/>
    <w:rsid w:val="004D5B6D"/>
    <w:rsid w:val="005714F5"/>
    <w:rsid w:val="005828FA"/>
    <w:rsid w:val="005C0F62"/>
    <w:rsid w:val="005D66D9"/>
    <w:rsid w:val="00610B78"/>
    <w:rsid w:val="006331D4"/>
    <w:rsid w:val="0069261A"/>
    <w:rsid w:val="006B6DF8"/>
    <w:rsid w:val="00716657"/>
    <w:rsid w:val="00737367"/>
    <w:rsid w:val="0074710F"/>
    <w:rsid w:val="00750926"/>
    <w:rsid w:val="007603EC"/>
    <w:rsid w:val="00793811"/>
    <w:rsid w:val="007B0610"/>
    <w:rsid w:val="00885929"/>
    <w:rsid w:val="008B4D77"/>
    <w:rsid w:val="008F40F8"/>
    <w:rsid w:val="00952517"/>
    <w:rsid w:val="00974D9E"/>
    <w:rsid w:val="00980A89"/>
    <w:rsid w:val="009A38D8"/>
    <w:rsid w:val="009B0466"/>
    <w:rsid w:val="009E1DB8"/>
    <w:rsid w:val="00A363DB"/>
    <w:rsid w:val="00A52198"/>
    <w:rsid w:val="00A52EC5"/>
    <w:rsid w:val="00A772F3"/>
    <w:rsid w:val="00AD6172"/>
    <w:rsid w:val="00B130DA"/>
    <w:rsid w:val="00B25E5F"/>
    <w:rsid w:val="00B76138"/>
    <w:rsid w:val="00B77CCE"/>
    <w:rsid w:val="00B91A6D"/>
    <w:rsid w:val="00BC0308"/>
    <w:rsid w:val="00BD6A00"/>
    <w:rsid w:val="00C325A3"/>
    <w:rsid w:val="00C473C6"/>
    <w:rsid w:val="00C536D6"/>
    <w:rsid w:val="00C5380B"/>
    <w:rsid w:val="00C902D9"/>
    <w:rsid w:val="00CA5811"/>
    <w:rsid w:val="00CD4BC3"/>
    <w:rsid w:val="00CE113C"/>
    <w:rsid w:val="00CE69D8"/>
    <w:rsid w:val="00D825C2"/>
    <w:rsid w:val="00D93EC6"/>
    <w:rsid w:val="00DA277F"/>
    <w:rsid w:val="00DA372A"/>
    <w:rsid w:val="00DE7DC9"/>
    <w:rsid w:val="00E726C2"/>
    <w:rsid w:val="00E84405"/>
    <w:rsid w:val="00EA549C"/>
    <w:rsid w:val="00EA5AC3"/>
    <w:rsid w:val="00EA67DF"/>
    <w:rsid w:val="00EE7916"/>
    <w:rsid w:val="00EF0C2F"/>
    <w:rsid w:val="00EF63B7"/>
    <w:rsid w:val="00F27BB4"/>
    <w:rsid w:val="00F61B16"/>
    <w:rsid w:val="00F949A0"/>
    <w:rsid w:val="00FA1003"/>
    <w:rsid w:val="00FB507B"/>
    <w:rsid w:val="00FC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D7F4DB"/>
  <w15:docId w15:val="{934FEA59-194A-4F69-8972-5603826E3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2F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772F3"/>
    <w:pPr>
      <w:adjustRightInd w:val="0"/>
      <w:spacing w:line="312" w:lineRule="atLeast"/>
      <w:textAlignment w:val="baseline"/>
    </w:pPr>
    <w:rPr>
      <w:rFonts w:ascii="宋体" w:hAnsi="Courier New" w:cs="Courier New"/>
      <w:kern w:val="0"/>
      <w:szCs w:val="21"/>
    </w:rPr>
  </w:style>
  <w:style w:type="paragraph" w:styleId="a4">
    <w:name w:val="header"/>
    <w:basedOn w:val="a"/>
    <w:rsid w:val="00A772F3"/>
    <w:pPr>
      <w:pBdr>
        <w:bottom w:val="single" w:sz="6" w:space="1" w:color="auto"/>
      </w:pBdr>
      <w:tabs>
        <w:tab w:val="center" w:pos="4153"/>
        <w:tab w:val="right" w:pos="8306"/>
      </w:tabs>
      <w:snapToGrid w:val="0"/>
      <w:jc w:val="center"/>
    </w:pPr>
    <w:rPr>
      <w:sz w:val="18"/>
      <w:szCs w:val="18"/>
    </w:rPr>
  </w:style>
  <w:style w:type="paragraph" w:styleId="a5">
    <w:name w:val="footer"/>
    <w:basedOn w:val="a"/>
    <w:rsid w:val="00A772F3"/>
    <w:pPr>
      <w:tabs>
        <w:tab w:val="center" w:pos="4153"/>
        <w:tab w:val="right" w:pos="8306"/>
      </w:tabs>
      <w:snapToGrid w:val="0"/>
      <w:jc w:val="left"/>
    </w:pPr>
    <w:rPr>
      <w:sz w:val="18"/>
      <w:szCs w:val="18"/>
    </w:rPr>
  </w:style>
  <w:style w:type="character" w:styleId="a6">
    <w:name w:val="Hyperlink"/>
    <w:basedOn w:val="a0"/>
    <w:rsid w:val="00A772F3"/>
    <w:rPr>
      <w:color w:val="0000FF"/>
      <w:u w:val="single"/>
    </w:rPr>
  </w:style>
  <w:style w:type="paragraph" w:styleId="a7">
    <w:name w:val="Normal (Web)"/>
    <w:basedOn w:val="a"/>
    <w:rsid w:val="00A772F3"/>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CharChar">
    <w:name w:val="Char Char Char Char Char Char"/>
    <w:basedOn w:val="a"/>
    <w:rsid w:val="005714F5"/>
    <w:pPr>
      <w:widowControl/>
      <w:spacing w:after="160" w:line="240" w:lineRule="exact"/>
      <w:jc w:val="left"/>
    </w:pPr>
    <w:rPr>
      <w:rFonts w:ascii="Arial" w:eastAsia="Times New Roman" w:hAnsi="Arial" w:cs="Verdana"/>
      <w:b/>
      <w:kern w:val="0"/>
      <w:sz w:val="24"/>
      <w:szCs w:val="20"/>
      <w:lang w:eastAsia="en-US"/>
    </w:rPr>
  </w:style>
  <w:style w:type="paragraph" w:styleId="a8">
    <w:name w:val="Body Text"/>
    <w:basedOn w:val="a"/>
    <w:rsid w:val="001B14F3"/>
    <w:pPr>
      <w:spacing w:after="120"/>
    </w:pPr>
    <w:rPr>
      <w:rFonts w:ascii="Arial" w:eastAsia="楷体_GB2312" w:hAnsi="Arial" w:cs="Arial"/>
      <w:color w:val="000000"/>
      <w:sz w:val="28"/>
      <w:szCs w:val="28"/>
    </w:rPr>
  </w:style>
  <w:style w:type="paragraph" w:styleId="a9">
    <w:name w:val="List Paragraph"/>
    <w:basedOn w:val="a"/>
    <w:uiPriority w:val="34"/>
    <w:qFormat/>
    <w:rsid w:val="002F169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0369">
      <w:bodyDiv w:val="1"/>
      <w:marLeft w:val="0"/>
      <w:marRight w:val="0"/>
      <w:marTop w:val="0"/>
      <w:marBottom w:val="0"/>
      <w:divBdr>
        <w:top w:val="none" w:sz="0" w:space="0" w:color="auto"/>
        <w:left w:val="none" w:sz="0" w:space="0" w:color="auto"/>
        <w:bottom w:val="none" w:sz="0" w:space="0" w:color="auto"/>
        <w:right w:val="none" w:sz="0" w:space="0" w:color="auto"/>
      </w:divBdr>
      <w:divsChild>
        <w:div w:id="1849831965">
          <w:marLeft w:val="0"/>
          <w:marRight w:val="0"/>
          <w:marTop w:val="0"/>
          <w:marBottom w:val="0"/>
          <w:divBdr>
            <w:top w:val="none" w:sz="0" w:space="0" w:color="auto"/>
            <w:left w:val="none" w:sz="0" w:space="0" w:color="auto"/>
            <w:bottom w:val="none" w:sz="0" w:space="0" w:color="auto"/>
            <w:right w:val="none" w:sz="0" w:space="0" w:color="auto"/>
          </w:divBdr>
          <w:divsChild>
            <w:div w:id="58602820">
              <w:marLeft w:val="0"/>
              <w:marRight w:val="0"/>
              <w:marTop w:val="0"/>
              <w:marBottom w:val="0"/>
              <w:divBdr>
                <w:top w:val="none" w:sz="0" w:space="0" w:color="auto"/>
                <w:left w:val="none" w:sz="0" w:space="0" w:color="auto"/>
                <w:bottom w:val="none" w:sz="0" w:space="0" w:color="auto"/>
                <w:right w:val="none" w:sz="0" w:space="0" w:color="auto"/>
              </w:divBdr>
            </w:div>
            <w:div w:id="750736813">
              <w:marLeft w:val="0"/>
              <w:marRight w:val="0"/>
              <w:marTop w:val="0"/>
              <w:marBottom w:val="0"/>
              <w:divBdr>
                <w:top w:val="none" w:sz="0" w:space="0" w:color="auto"/>
                <w:left w:val="none" w:sz="0" w:space="0" w:color="auto"/>
                <w:bottom w:val="none" w:sz="0" w:space="0" w:color="auto"/>
                <w:right w:val="none" w:sz="0" w:space="0" w:color="auto"/>
              </w:divBdr>
            </w:div>
            <w:div w:id="1392657152">
              <w:marLeft w:val="0"/>
              <w:marRight w:val="0"/>
              <w:marTop w:val="0"/>
              <w:marBottom w:val="0"/>
              <w:divBdr>
                <w:top w:val="none" w:sz="0" w:space="0" w:color="auto"/>
                <w:left w:val="none" w:sz="0" w:space="0" w:color="auto"/>
                <w:bottom w:val="none" w:sz="0" w:space="0" w:color="auto"/>
                <w:right w:val="none" w:sz="0" w:space="0" w:color="auto"/>
              </w:divBdr>
            </w:div>
            <w:div w:id="1651443482">
              <w:marLeft w:val="0"/>
              <w:marRight w:val="0"/>
              <w:marTop w:val="0"/>
              <w:marBottom w:val="0"/>
              <w:divBdr>
                <w:top w:val="none" w:sz="0" w:space="0" w:color="auto"/>
                <w:left w:val="none" w:sz="0" w:space="0" w:color="auto"/>
                <w:bottom w:val="none" w:sz="0" w:space="0" w:color="auto"/>
                <w:right w:val="none" w:sz="0" w:space="0" w:color="auto"/>
              </w:divBdr>
            </w:div>
            <w:div w:id="20648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92386">
      <w:bodyDiv w:val="1"/>
      <w:marLeft w:val="0"/>
      <w:marRight w:val="0"/>
      <w:marTop w:val="0"/>
      <w:marBottom w:val="0"/>
      <w:divBdr>
        <w:top w:val="none" w:sz="0" w:space="0" w:color="auto"/>
        <w:left w:val="none" w:sz="0" w:space="0" w:color="auto"/>
        <w:bottom w:val="none" w:sz="0" w:space="0" w:color="auto"/>
        <w:right w:val="none" w:sz="0" w:space="0" w:color="auto"/>
      </w:divBdr>
    </w:div>
    <w:div w:id="1766463385">
      <w:bodyDiv w:val="1"/>
      <w:marLeft w:val="0"/>
      <w:marRight w:val="0"/>
      <w:marTop w:val="0"/>
      <w:marBottom w:val="0"/>
      <w:divBdr>
        <w:top w:val="none" w:sz="0" w:space="0" w:color="auto"/>
        <w:left w:val="none" w:sz="0" w:space="0" w:color="auto"/>
        <w:bottom w:val="none" w:sz="0" w:space="0" w:color="auto"/>
        <w:right w:val="none" w:sz="0" w:space="0" w:color="auto"/>
      </w:divBdr>
      <w:divsChild>
        <w:div w:id="927269460">
          <w:marLeft w:val="0"/>
          <w:marRight w:val="0"/>
          <w:marTop w:val="0"/>
          <w:marBottom w:val="0"/>
          <w:divBdr>
            <w:top w:val="none" w:sz="0" w:space="0" w:color="auto"/>
            <w:left w:val="none" w:sz="0" w:space="0" w:color="auto"/>
            <w:bottom w:val="none" w:sz="0" w:space="0" w:color="auto"/>
            <w:right w:val="none" w:sz="0" w:space="0" w:color="auto"/>
          </w:divBdr>
          <w:divsChild>
            <w:div w:id="19442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7612">
      <w:bodyDiv w:val="1"/>
      <w:marLeft w:val="0"/>
      <w:marRight w:val="0"/>
      <w:marTop w:val="0"/>
      <w:marBottom w:val="0"/>
      <w:divBdr>
        <w:top w:val="none" w:sz="0" w:space="0" w:color="auto"/>
        <w:left w:val="none" w:sz="0" w:space="0" w:color="auto"/>
        <w:bottom w:val="none" w:sz="0" w:space="0" w:color="auto"/>
        <w:right w:val="none" w:sz="0" w:space="0" w:color="auto"/>
      </w:divBdr>
      <w:divsChild>
        <w:div w:id="141124341">
          <w:marLeft w:val="0"/>
          <w:marRight w:val="0"/>
          <w:marTop w:val="0"/>
          <w:marBottom w:val="0"/>
          <w:divBdr>
            <w:top w:val="none" w:sz="0" w:space="0" w:color="auto"/>
            <w:left w:val="none" w:sz="0" w:space="0" w:color="auto"/>
            <w:bottom w:val="none" w:sz="0" w:space="0" w:color="auto"/>
            <w:right w:val="none" w:sz="0" w:space="0" w:color="auto"/>
          </w:divBdr>
          <w:divsChild>
            <w:div w:id="160256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报表阅读与财务分析</dc:title>
  <dc:creator>章从大</dc:creator>
  <cp:keywords>中国财税管理课程生动化、形象化第一人</cp:keywords>
  <dc:description>中国财税管理课程生动化、形象化第一人</dc:description>
  <cp:lastModifiedBy>章 从大</cp:lastModifiedBy>
  <cp:revision>9</cp:revision>
  <dcterms:created xsi:type="dcterms:W3CDTF">2023-01-31T06:05:00Z</dcterms:created>
  <dcterms:modified xsi:type="dcterms:W3CDTF">2023-02-10T01:37:00Z</dcterms:modified>
</cp:coreProperties>
</file>