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93EB" w14:textId="77777777" w:rsidR="00073E16" w:rsidRDefault="00073E16" w:rsidP="00073E16">
      <w:pPr>
        <w:pStyle w:val="a7"/>
        <w:spacing w:line="520" w:lineRule="exact"/>
        <w:jc w:val="center"/>
        <w:rPr>
          <w:rFonts w:ascii="宋体" w:eastAsia="宋体" w:hAnsi="宋体" w:cs="Times New Roman"/>
          <w:b/>
          <w:bCs/>
          <w:kern w:val="2"/>
          <w:sz w:val="32"/>
          <w:szCs w:val="32"/>
        </w:rPr>
      </w:pPr>
      <w:r w:rsidRPr="00073E16">
        <w:rPr>
          <w:rFonts w:ascii="宋体" w:eastAsia="宋体" w:hAnsi="宋体" w:cs="Times New Roman" w:hint="eastAsia"/>
          <w:b/>
          <w:bCs/>
          <w:kern w:val="2"/>
          <w:sz w:val="32"/>
          <w:szCs w:val="32"/>
        </w:rPr>
        <w:t>基于经营决策的企业财务报表解读与分析</w:t>
      </w:r>
    </w:p>
    <w:p w14:paraId="4343604F" w14:textId="77777777" w:rsidR="00A772F3" w:rsidRPr="00EF0C2F" w:rsidRDefault="00A772F3" w:rsidP="00EF0C2F">
      <w:pPr>
        <w:pStyle w:val="a7"/>
        <w:spacing w:line="520" w:lineRule="exact"/>
        <w:rPr>
          <w:rFonts w:ascii="宋体" w:eastAsia="宋体" w:hAnsi="宋体"/>
          <w:b/>
          <w:sz w:val="21"/>
          <w:szCs w:val="21"/>
        </w:rPr>
      </w:pPr>
      <w:r w:rsidRPr="00EF0C2F">
        <w:rPr>
          <w:rFonts w:ascii="宋体" w:eastAsia="宋体" w:hAnsi="宋体"/>
          <w:b/>
          <w:sz w:val="21"/>
          <w:szCs w:val="21"/>
        </w:rPr>
        <w:t>课程介绍</w:t>
      </w:r>
      <w:r w:rsidR="00B91A6D" w:rsidRPr="00EF0C2F">
        <w:rPr>
          <w:rFonts w:ascii="宋体" w:eastAsia="宋体" w:hAnsi="宋体" w:hint="eastAsia"/>
          <w:b/>
          <w:sz w:val="21"/>
          <w:szCs w:val="21"/>
        </w:rPr>
        <w:t>：</w:t>
      </w:r>
    </w:p>
    <w:p w14:paraId="0AD28A8C" w14:textId="77777777" w:rsidR="00A772F3" w:rsidRPr="00EF0C2F" w:rsidRDefault="00EF3D27" w:rsidP="00EE3BD8">
      <w:pPr>
        <w:pStyle w:val="a7"/>
        <w:spacing w:line="52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绝大多数</w:t>
      </w:r>
      <w:r w:rsidR="00DF128A">
        <w:rPr>
          <w:rFonts w:ascii="宋体" w:eastAsia="宋体" w:hAnsi="宋体" w:hint="eastAsia"/>
          <w:sz w:val="21"/>
          <w:szCs w:val="21"/>
        </w:rPr>
        <w:t>企业中高层管理人员以及</w:t>
      </w:r>
      <w:r>
        <w:rPr>
          <w:rFonts w:ascii="宋体" w:eastAsia="宋体" w:hAnsi="宋体" w:hint="eastAsia"/>
          <w:sz w:val="21"/>
          <w:szCs w:val="21"/>
        </w:rPr>
        <w:t>财务人员在报表阅读与财务分析方面存在两个误区：其一是将其搞成毫无意义的数据堆砌，其二是只能发现问题的表象，而</w:t>
      </w:r>
      <w:r w:rsidR="00B72DAB">
        <w:rPr>
          <w:rFonts w:ascii="宋体" w:eastAsia="宋体" w:hAnsi="宋体" w:hint="eastAsia"/>
          <w:sz w:val="21"/>
          <w:szCs w:val="21"/>
        </w:rPr>
        <w:t>无法</w:t>
      </w:r>
      <w:r>
        <w:rPr>
          <w:rFonts w:ascii="宋体" w:eastAsia="宋体" w:hAnsi="宋体" w:hint="eastAsia"/>
          <w:sz w:val="21"/>
          <w:szCs w:val="21"/>
        </w:rPr>
        <w:t>深入发现表象背后的原因。殊不知财务分析的目的是“对症”。其目标是发现企业经营活动、投资活动以及筹资活动三大业务当中存在的问题</w:t>
      </w:r>
      <w:r w:rsidR="00B72DAB">
        <w:rPr>
          <w:rFonts w:ascii="宋体" w:eastAsia="宋体" w:hAnsi="宋体" w:hint="eastAsia"/>
          <w:sz w:val="21"/>
          <w:szCs w:val="21"/>
        </w:rPr>
        <w:t>，</w:t>
      </w:r>
      <w:r>
        <w:rPr>
          <w:rFonts w:ascii="宋体" w:eastAsia="宋体" w:hAnsi="宋体" w:hint="eastAsia"/>
          <w:sz w:val="21"/>
          <w:szCs w:val="21"/>
        </w:rPr>
        <w:t>从而为接下来采取有效的管理措施与行动提供有效指导。本课程</w:t>
      </w:r>
      <w:r w:rsidR="00B8286F">
        <w:rPr>
          <w:rFonts w:ascii="宋体" w:eastAsia="宋体" w:hAnsi="宋体" w:hint="eastAsia"/>
          <w:sz w:val="21"/>
          <w:szCs w:val="21"/>
        </w:rPr>
        <w:t>就</w:t>
      </w:r>
      <w:r w:rsidR="00DF128A">
        <w:rPr>
          <w:rFonts w:ascii="宋体" w:eastAsia="宋体" w:hAnsi="宋体" w:hint="eastAsia"/>
          <w:sz w:val="21"/>
          <w:szCs w:val="21"/>
        </w:rPr>
        <w:t>以上问题提供相关的解决思路与分析工具，旨在提高企业相关人员的财务管理能力与财务分析水平，提升企业价值创造能力</w:t>
      </w:r>
      <w:r w:rsidR="00B8286F">
        <w:rPr>
          <w:rFonts w:ascii="宋体" w:eastAsia="宋体" w:hAnsi="宋体" w:hint="eastAsia"/>
          <w:sz w:val="21"/>
          <w:szCs w:val="21"/>
        </w:rPr>
        <w:t>。</w:t>
      </w:r>
    </w:p>
    <w:p w14:paraId="4A19DA27" w14:textId="77777777" w:rsidR="00A772F3" w:rsidRPr="00EF0C2F" w:rsidRDefault="00A772F3" w:rsidP="00EF0C2F">
      <w:pPr>
        <w:spacing w:line="520" w:lineRule="exact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课程目标</w:t>
      </w:r>
      <w:r w:rsidR="00B91A6D" w:rsidRPr="00EF0C2F">
        <w:rPr>
          <w:rFonts w:ascii="宋体" w:hAnsi="宋体" w:hint="eastAsia"/>
          <w:b/>
          <w:szCs w:val="21"/>
        </w:rPr>
        <w:t>：</w:t>
      </w:r>
    </w:p>
    <w:p w14:paraId="5CD2D3F9" w14:textId="77777777" w:rsidR="00A772F3" w:rsidRPr="00EF0C2F" w:rsidRDefault="00A772F3" w:rsidP="00EF0C2F">
      <w:pPr>
        <w:pStyle w:val="a7"/>
        <w:spacing w:line="52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F0C2F">
        <w:rPr>
          <w:rFonts w:ascii="宋体" w:eastAsia="宋体" w:hAnsi="宋体"/>
          <w:sz w:val="21"/>
          <w:szCs w:val="21"/>
        </w:rPr>
        <w:t>培训</w:t>
      </w:r>
      <w:r w:rsidRPr="00EF0C2F">
        <w:rPr>
          <w:rFonts w:ascii="宋体" w:eastAsia="宋体" w:hAnsi="宋体" w:hint="eastAsia"/>
          <w:sz w:val="21"/>
          <w:szCs w:val="21"/>
        </w:rPr>
        <w:t>师</w:t>
      </w:r>
      <w:r w:rsidRPr="00EF0C2F">
        <w:rPr>
          <w:rFonts w:ascii="宋体" w:eastAsia="宋体" w:hAnsi="宋体"/>
          <w:sz w:val="21"/>
          <w:szCs w:val="21"/>
        </w:rPr>
        <w:t>用深入浅出的方式，</w:t>
      </w:r>
      <w:r w:rsidR="001A181E" w:rsidRPr="00EF0C2F">
        <w:rPr>
          <w:rFonts w:ascii="宋体" w:eastAsia="宋体" w:hAnsi="宋体" w:hint="eastAsia"/>
          <w:sz w:val="21"/>
          <w:szCs w:val="21"/>
        </w:rPr>
        <w:t>重点介绍</w:t>
      </w:r>
      <w:r w:rsidR="000D0317">
        <w:rPr>
          <w:rFonts w:ascii="宋体" w:eastAsia="宋体" w:hAnsi="宋体" w:hint="eastAsia"/>
          <w:sz w:val="21"/>
          <w:szCs w:val="21"/>
        </w:rPr>
        <w:t>常见的财务分析工具与方法的具体运用</w:t>
      </w:r>
      <w:r w:rsidRPr="00EF0C2F">
        <w:rPr>
          <w:rFonts w:ascii="宋体" w:eastAsia="宋体" w:hAnsi="宋体"/>
          <w:sz w:val="21"/>
          <w:szCs w:val="21"/>
        </w:rPr>
        <w:t>，通过高效的培训方法和丰富的案例，使参加</w:t>
      </w:r>
      <w:r w:rsidR="001A181E" w:rsidRPr="00EF0C2F">
        <w:rPr>
          <w:rFonts w:ascii="宋体" w:eastAsia="宋体" w:hAnsi="宋体" w:hint="eastAsia"/>
          <w:sz w:val="21"/>
          <w:szCs w:val="21"/>
        </w:rPr>
        <w:t>人员</w:t>
      </w:r>
      <w:r w:rsidRPr="00EF0C2F">
        <w:rPr>
          <w:rFonts w:ascii="宋体" w:eastAsia="宋体" w:hAnsi="宋体"/>
          <w:sz w:val="21"/>
          <w:szCs w:val="21"/>
        </w:rPr>
        <w:t>能够</w:t>
      </w:r>
      <w:r w:rsidR="001A181E" w:rsidRPr="00EF0C2F">
        <w:rPr>
          <w:rFonts w:ascii="宋体" w:eastAsia="宋体" w:hAnsi="宋体" w:hint="eastAsia"/>
          <w:sz w:val="21"/>
          <w:szCs w:val="21"/>
        </w:rPr>
        <w:t>深刻理解</w:t>
      </w:r>
      <w:r w:rsidR="00DE4E1F">
        <w:rPr>
          <w:rFonts w:ascii="宋体" w:eastAsia="宋体" w:hAnsi="宋体" w:hint="eastAsia"/>
          <w:sz w:val="21"/>
          <w:szCs w:val="21"/>
        </w:rPr>
        <w:t>报表阅读与</w:t>
      </w:r>
      <w:r w:rsidR="000D0317">
        <w:rPr>
          <w:rFonts w:ascii="宋体" w:eastAsia="宋体" w:hAnsi="宋体" w:hint="eastAsia"/>
          <w:sz w:val="21"/>
          <w:szCs w:val="21"/>
        </w:rPr>
        <w:t>财务分析的实务操作技巧</w:t>
      </w:r>
      <w:r w:rsidRPr="00EF0C2F">
        <w:rPr>
          <w:rFonts w:ascii="宋体" w:eastAsia="宋体" w:hAnsi="宋体"/>
          <w:sz w:val="21"/>
          <w:szCs w:val="21"/>
        </w:rPr>
        <w:t>，有效提升</w:t>
      </w:r>
      <w:r w:rsidR="0010004B">
        <w:rPr>
          <w:rFonts w:ascii="宋体" w:eastAsia="宋体" w:hAnsi="宋体"/>
          <w:sz w:val="21"/>
          <w:szCs w:val="21"/>
        </w:rPr>
        <w:t>企业的经营</w:t>
      </w:r>
      <w:r w:rsidR="00B72DAB">
        <w:rPr>
          <w:rFonts w:ascii="宋体" w:eastAsia="宋体" w:hAnsi="宋体" w:hint="eastAsia"/>
          <w:sz w:val="21"/>
          <w:szCs w:val="21"/>
        </w:rPr>
        <w:t>决策</w:t>
      </w:r>
      <w:r w:rsidRPr="00EF0C2F">
        <w:rPr>
          <w:rFonts w:ascii="宋体" w:eastAsia="宋体" w:hAnsi="宋体"/>
          <w:sz w:val="21"/>
          <w:szCs w:val="21"/>
        </w:rPr>
        <w:t>水平。</w:t>
      </w:r>
    </w:p>
    <w:p w14:paraId="1F1ACE14" w14:textId="77777777" w:rsidR="00A772F3" w:rsidRPr="00EF0C2F" w:rsidRDefault="00A772F3" w:rsidP="00DE4E1F">
      <w:pPr>
        <w:pStyle w:val="a7"/>
        <w:tabs>
          <w:tab w:val="left" w:pos="0"/>
        </w:tabs>
        <w:spacing w:line="520" w:lineRule="exact"/>
        <w:rPr>
          <w:rFonts w:ascii="宋体" w:hAnsi="宋体"/>
          <w:b/>
          <w:szCs w:val="21"/>
        </w:rPr>
      </w:pPr>
      <w:r w:rsidRPr="00EF0C2F">
        <w:rPr>
          <w:rFonts w:ascii="宋体" w:eastAsia="宋体" w:hAnsi="宋体"/>
          <w:b/>
          <w:sz w:val="21"/>
          <w:szCs w:val="21"/>
        </w:rPr>
        <w:t>课程收益</w:t>
      </w:r>
      <w:r w:rsidR="00B91A6D" w:rsidRPr="00EF0C2F">
        <w:rPr>
          <w:rFonts w:ascii="宋体" w:eastAsia="宋体" w:hAnsi="宋体" w:hint="eastAsia"/>
          <w:sz w:val="21"/>
          <w:szCs w:val="21"/>
        </w:rPr>
        <w:t>：</w:t>
      </w:r>
      <w:r w:rsidR="00EE3BD8">
        <w:rPr>
          <w:rFonts w:ascii="宋体" w:eastAsia="宋体" w:hAnsi="宋体"/>
          <w:sz w:val="21"/>
          <w:szCs w:val="21"/>
        </w:rPr>
        <w:br/>
      </w:r>
      <w:r w:rsidR="00DE4E1F">
        <w:rPr>
          <w:rFonts w:ascii="宋体" w:eastAsia="宋体" w:hAnsi="宋体" w:hint="eastAsia"/>
          <w:sz w:val="21"/>
          <w:szCs w:val="21"/>
        </w:rPr>
        <w:t>1）</w:t>
      </w:r>
      <w:r w:rsidR="00DF128A">
        <w:rPr>
          <w:rFonts w:ascii="宋体" w:eastAsia="宋体" w:hAnsi="宋体"/>
          <w:sz w:val="21"/>
          <w:szCs w:val="21"/>
        </w:rPr>
        <w:t>明确财务分析的作用与方法，形成整体的财务分析概念</w:t>
      </w:r>
      <w:r w:rsidR="00DF128A" w:rsidRPr="00EF0C2F">
        <w:rPr>
          <w:rFonts w:ascii="宋体" w:eastAsia="宋体" w:hAnsi="宋体"/>
          <w:sz w:val="21"/>
          <w:szCs w:val="21"/>
        </w:rPr>
        <w:sym w:font="Times New Roman" w:char="F0D8"/>
      </w:r>
      <w:r w:rsidR="00EE3BD8">
        <w:rPr>
          <w:rFonts w:ascii="宋体" w:eastAsia="宋体" w:hAnsi="宋体"/>
          <w:sz w:val="21"/>
          <w:szCs w:val="21"/>
        </w:rPr>
        <w:br/>
      </w:r>
      <w:r w:rsidR="00DE4E1F">
        <w:rPr>
          <w:rFonts w:ascii="宋体" w:eastAsia="宋体" w:hAnsi="宋体" w:hint="eastAsia"/>
          <w:sz w:val="21"/>
          <w:szCs w:val="21"/>
        </w:rPr>
        <w:t>2）</w:t>
      </w:r>
      <w:r w:rsidR="000D0317">
        <w:rPr>
          <w:rFonts w:ascii="宋体" w:eastAsia="宋体" w:hAnsi="宋体" w:hint="eastAsia"/>
          <w:sz w:val="21"/>
          <w:szCs w:val="21"/>
        </w:rPr>
        <w:t>熟练掌握常用财务比率的分析方法，发现企业管理的改善点</w:t>
      </w:r>
      <w:r w:rsidRPr="00EF0C2F">
        <w:rPr>
          <w:rFonts w:ascii="宋体" w:eastAsia="宋体" w:hAnsi="宋体"/>
          <w:sz w:val="21"/>
          <w:szCs w:val="21"/>
        </w:rPr>
        <w:sym w:font="Times New Roman" w:char="F0D8"/>
      </w:r>
      <w:r w:rsidR="00EE3BD8">
        <w:rPr>
          <w:rFonts w:ascii="宋体" w:eastAsia="宋体" w:hAnsi="宋体"/>
          <w:sz w:val="21"/>
          <w:szCs w:val="21"/>
        </w:rPr>
        <w:br/>
      </w:r>
      <w:r w:rsidR="00DE4E1F">
        <w:rPr>
          <w:rFonts w:ascii="宋体" w:eastAsia="宋体" w:hAnsi="宋体" w:hint="eastAsia"/>
          <w:sz w:val="21"/>
          <w:szCs w:val="21"/>
        </w:rPr>
        <w:t>3）</w:t>
      </w:r>
      <w:r w:rsidR="000D0317">
        <w:rPr>
          <w:rFonts w:ascii="宋体" w:eastAsia="宋体" w:hAnsi="宋体"/>
          <w:sz w:val="21"/>
          <w:szCs w:val="21"/>
        </w:rPr>
        <w:t>高度重视现金流的分析，有效控制财务风险，确保企业的可持续发展</w:t>
      </w:r>
      <w:r w:rsidR="00EE3BD8">
        <w:rPr>
          <w:rFonts w:ascii="宋体" w:eastAsia="宋体" w:hAnsi="宋体"/>
          <w:sz w:val="21"/>
          <w:szCs w:val="21"/>
        </w:rPr>
        <w:br/>
      </w:r>
      <w:r w:rsidR="00DE4E1F">
        <w:rPr>
          <w:rFonts w:ascii="宋体" w:eastAsia="宋体" w:hAnsi="宋体" w:hint="eastAsia"/>
          <w:sz w:val="21"/>
          <w:szCs w:val="21"/>
        </w:rPr>
        <w:t>4）</w:t>
      </w:r>
      <w:r w:rsidR="000D0317">
        <w:rPr>
          <w:rFonts w:ascii="宋体" w:eastAsia="宋体" w:hAnsi="宋体"/>
          <w:sz w:val="21"/>
          <w:szCs w:val="21"/>
        </w:rPr>
        <w:t>掌握企业价值创造的关键点，需求持续改善绩效的方法</w:t>
      </w:r>
      <w:r w:rsidRPr="00EF0C2F">
        <w:rPr>
          <w:rFonts w:ascii="宋体" w:eastAsia="宋体" w:hAnsi="宋体"/>
          <w:sz w:val="21"/>
          <w:szCs w:val="21"/>
        </w:rPr>
        <w:sym w:font="Times New Roman" w:char="F0D8"/>
      </w:r>
      <w:r w:rsidR="00EE3BD8">
        <w:rPr>
          <w:rFonts w:ascii="宋体" w:eastAsia="宋体" w:hAnsi="宋体"/>
          <w:sz w:val="21"/>
          <w:szCs w:val="21"/>
        </w:rPr>
        <w:br/>
      </w:r>
      <w:r w:rsidR="00EE3BD8" w:rsidRPr="00DE4E1F">
        <w:rPr>
          <w:rFonts w:ascii="宋体" w:hAnsi="宋体"/>
          <w:b/>
          <w:szCs w:val="21"/>
        </w:rPr>
        <w:t xml:space="preserve"> </w:t>
      </w:r>
      <w:r w:rsidR="00DE4E1F" w:rsidRPr="00DE4E1F">
        <w:rPr>
          <w:rFonts w:ascii="宋体" w:hAnsi="宋体"/>
          <w:b/>
          <w:szCs w:val="21"/>
        </w:rPr>
        <w:t>课</w:t>
      </w:r>
      <w:r w:rsidRPr="00EF0C2F">
        <w:rPr>
          <w:rFonts w:ascii="宋体" w:hAnsi="宋体" w:hint="eastAsia"/>
          <w:b/>
          <w:szCs w:val="21"/>
        </w:rPr>
        <w:t>程大纲：</w:t>
      </w:r>
    </w:p>
    <w:p w14:paraId="626087D7" w14:textId="77777777" w:rsidR="00B72DAB" w:rsidRDefault="00B72DAB" w:rsidP="00B72DAB">
      <w:pPr>
        <w:spacing w:line="520" w:lineRule="exact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第一部分：</w:t>
      </w:r>
      <w:r>
        <w:rPr>
          <w:rFonts w:ascii="宋体" w:hAnsi="宋体" w:hint="eastAsia"/>
          <w:b/>
          <w:szCs w:val="21"/>
        </w:rPr>
        <w:t>三张主要报表的分析</w:t>
      </w:r>
    </w:p>
    <w:p w14:paraId="2C483440" w14:textId="77777777" w:rsidR="00B72DAB" w:rsidRPr="00A30C29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A30C29">
        <w:rPr>
          <w:rFonts w:ascii="宋体" w:hAnsi="宋体" w:cs="宋体" w:hint="eastAsia"/>
          <w:color w:val="000000"/>
          <w:kern w:val="0"/>
          <w:szCs w:val="21"/>
          <w:lang w:val="zh-CN"/>
        </w:rPr>
        <w:t>一、资产负债表的分析</w:t>
      </w:r>
    </w:p>
    <w:p w14:paraId="6909395D" w14:textId="77777777" w:rsidR="00B72DAB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现金资产质量分析与风险控制          </w:t>
      </w: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债权资产质量分析与风险控制</w:t>
      </w:r>
    </w:p>
    <w:p w14:paraId="21EA94E1" w14:textId="77777777" w:rsidR="00B72DAB" w:rsidRDefault="00DE4E1F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</w:t>
      </w:r>
      <w:r w:rsidR="00B72DAB">
        <w:rPr>
          <w:rFonts w:ascii="宋体" w:hAnsi="宋体" w:cs="宋体" w:hint="eastAsia"/>
          <w:color w:val="000000"/>
          <w:kern w:val="0"/>
          <w:szCs w:val="21"/>
          <w:lang w:val="zh-CN"/>
        </w:rPr>
        <w:t>）存货资产质量分析与风险控制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4）固定资产质量分析与风险控制</w:t>
      </w:r>
    </w:p>
    <w:p w14:paraId="3F5E4B63" w14:textId="77777777" w:rsidR="00B72DAB" w:rsidRDefault="00DE4E1F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</w:t>
      </w:r>
      <w:r w:rsidR="00B72DAB">
        <w:rPr>
          <w:rFonts w:ascii="宋体" w:hAnsi="宋体" w:cs="宋体" w:hint="eastAsia"/>
          <w:color w:val="000000"/>
          <w:kern w:val="0"/>
          <w:szCs w:val="21"/>
          <w:lang w:val="zh-CN"/>
        </w:rPr>
        <w:t>）无形资产质量分析与风险控制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6）负债质量分析与风险控制</w:t>
      </w:r>
    </w:p>
    <w:p w14:paraId="1F7EF207" w14:textId="77777777" w:rsidR="00B72DAB" w:rsidRDefault="00DE4E1F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7</w:t>
      </w:r>
      <w:r w:rsidR="00B72DAB">
        <w:rPr>
          <w:rFonts w:ascii="宋体" w:hAnsi="宋体" w:cs="宋体" w:hint="eastAsia"/>
          <w:color w:val="000000"/>
          <w:kern w:val="0"/>
          <w:szCs w:val="21"/>
          <w:lang w:val="zh-CN"/>
        </w:rPr>
        <w:t>）所有者权益（股东权益）分析</w:t>
      </w:r>
    </w:p>
    <w:p w14:paraId="6417C0F2" w14:textId="77777777" w:rsidR="00B72DAB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二、利润表的分析</w:t>
      </w:r>
    </w:p>
    <w:p w14:paraId="7E51EBE9" w14:textId="77777777" w:rsidR="00B72DAB" w:rsidRDefault="00DE4E1F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</w:t>
      </w:r>
      <w:r w:rsidR="00B72DAB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三大利润指标</w:t>
      </w:r>
      <w:r w:rsidR="00B72D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2</w:t>
      </w:r>
      <w:r w:rsidR="00B72DAB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稳健性与盈余质量分析</w:t>
      </w:r>
    </w:p>
    <w:p w14:paraId="27D44E58" w14:textId="77777777" w:rsidR="00B72DAB" w:rsidRPr="00C531C7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三、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现金流量表的分析</w:t>
      </w:r>
    </w:p>
    <w:p w14:paraId="16CE53D2" w14:textId="77777777" w:rsidR="00B72DAB" w:rsidRDefault="00B72DAB" w:rsidP="00B72DAB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现金流量结构分析</w:t>
      </w:r>
      <w:r w:rsidR="00DE4E1F">
        <w:rPr>
          <w:rFonts w:ascii="宋体" w:hAnsi="宋体" w:cs="宋体" w:hint="eastAsia"/>
          <w:bCs/>
          <w:color w:val="000000"/>
          <w:kern w:val="0"/>
          <w:szCs w:val="21"/>
        </w:rPr>
        <w:t xml:space="preserve">                     </w:t>
      </w:r>
      <w:r w:rsidRPr="00C531C7">
        <w:rPr>
          <w:rFonts w:ascii="宋体" w:hAnsi="宋体" w:cs="宋体" w:hint="eastAsia"/>
          <w:bCs/>
          <w:color w:val="000000"/>
          <w:kern w:val="0"/>
          <w:szCs w:val="21"/>
        </w:rPr>
        <w:t>2）</w:t>
      </w:r>
      <w:r w:rsidR="00DE4E1F">
        <w:rPr>
          <w:rFonts w:ascii="宋体" w:hAnsi="宋体" w:cs="宋体" w:hint="eastAsia"/>
          <w:bCs/>
          <w:color w:val="000000"/>
          <w:kern w:val="0"/>
          <w:szCs w:val="21"/>
        </w:rPr>
        <w:t>产业</w:t>
      </w:r>
      <w:proofErr w:type="gramStart"/>
      <w:r w:rsidR="00DE4E1F">
        <w:rPr>
          <w:rFonts w:ascii="宋体" w:hAnsi="宋体" w:cs="宋体" w:hint="eastAsia"/>
          <w:bCs/>
          <w:color w:val="000000"/>
          <w:kern w:val="0"/>
          <w:szCs w:val="21"/>
        </w:rPr>
        <w:t>链地位</w:t>
      </w:r>
      <w:proofErr w:type="gramEnd"/>
      <w:r w:rsidR="00DE4E1F">
        <w:rPr>
          <w:rFonts w:ascii="宋体" w:hAnsi="宋体" w:cs="宋体" w:hint="eastAsia"/>
          <w:bCs/>
          <w:color w:val="000000"/>
          <w:kern w:val="0"/>
          <w:szCs w:val="21"/>
        </w:rPr>
        <w:t>分析</w:t>
      </w:r>
    </w:p>
    <w:p w14:paraId="04726E91" w14:textId="77777777" w:rsidR="00B72DAB" w:rsidRPr="00342AD5" w:rsidRDefault="00B72DAB" w:rsidP="00B72DAB">
      <w:pPr>
        <w:spacing w:line="520" w:lineRule="exact"/>
        <w:jc w:val="center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二</w:t>
      </w:r>
      <w:r w:rsidRPr="00EF0C2F">
        <w:rPr>
          <w:rFonts w:ascii="宋体" w:hAnsi="宋体" w:hint="eastAsia"/>
          <w:b/>
          <w:szCs w:val="21"/>
        </w:rPr>
        <w:t>部分：</w:t>
      </w:r>
      <w:r>
        <w:rPr>
          <w:rFonts w:ascii="宋体" w:hAnsi="宋体" w:hint="eastAsia"/>
          <w:b/>
          <w:szCs w:val="21"/>
        </w:rPr>
        <w:t>财务分析</w:t>
      </w:r>
    </w:p>
    <w:p w14:paraId="35086AE5" w14:textId="77777777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一、初步认识财务分析</w:t>
      </w:r>
    </w:p>
    <w:p w14:paraId="1EF9B234" w14:textId="77777777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1）财务分析的主要方法                   2）财务分析的两大误区</w:t>
      </w:r>
    </w:p>
    <w:p w14:paraId="6C3634A7" w14:textId="77777777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3）财务分析的两大缺陷与不足</w:t>
      </w:r>
    </w:p>
    <w:p w14:paraId="768EDA9C" w14:textId="77777777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二、被高估的财务比率分析</w:t>
      </w:r>
    </w:p>
    <w:p w14:paraId="61657AE5" w14:textId="77777777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1）反映企业盈利能力的比率               2）反映企业偿债能力的比率</w:t>
      </w:r>
    </w:p>
    <w:p w14:paraId="0D289682" w14:textId="77777777" w:rsidR="00B72DAB" w:rsidRPr="00513AAF" w:rsidRDefault="00B72DAB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3）反映企业资产</w:t>
      </w:r>
      <w:r w:rsidR="00DE4E1F" w:rsidRPr="00513AAF">
        <w:rPr>
          <w:rFonts w:ascii="宋体" w:hAnsi="宋体" w:hint="eastAsia"/>
          <w:bCs/>
          <w:color w:val="000000"/>
          <w:szCs w:val="21"/>
        </w:rPr>
        <w:t>运营</w:t>
      </w:r>
      <w:r w:rsidRPr="00513AAF">
        <w:rPr>
          <w:rFonts w:ascii="宋体" w:hAnsi="宋体" w:hint="eastAsia"/>
          <w:bCs/>
          <w:color w:val="000000"/>
          <w:szCs w:val="21"/>
        </w:rPr>
        <w:t>效率的比率</w:t>
      </w:r>
    </w:p>
    <w:p w14:paraId="159C18A3" w14:textId="77777777" w:rsidR="00716E2D" w:rsidRDefault="00DE4E1F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 w:rsidRPr="00513AAF">
        <w:rPr>
          <w:rFonts w:ascii="宋体" w:hAnsi="宋体" w:hint="eastAsia"/>
          <w:bCs/>
          <w:color w:val="000000"/>
          <w:szCs w:val="21"/>
        </w:rPr>
        <w:t>三、</w:t>
      </w:r>
      <w:r w:rsidR="00716E2D">
        <w:rPr>
          <w:rFonts w:ascii="宋体" w:hAnsi="宋体" w:hint="eastAsia"/>
          <w:bCs/>
          <w:color w:val="000000"/>
          <w:szCs w:val="21"/>
        </w:rPr>
        <w:t>两大综合分析方法与工具</w:t>
      </w:r>
    </w:p>
    <w:p w14:paraId="6922C19B" w14:textId="27939146" w:rsidR="00DE4E1F" w:rsidRDefault="00716E2D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1</w:t>
      </w:r>
      <w:r>
        <w:rPr>
          <w:rFonts w:ascii="宋体" w:hAnsi="宋体" w:hint="eastAsia"/>
          <w:bCs/>
          <w:color w:val="000000"/>
          <w:szCs w:val="21"/>
        </w:rPr>
        <w:t>）</w:t>
      </w:r>
      <w:r w:rsidR="00DE4E1F" w:rsidRPr="00513AAF">
        <w:rPr>
          <w:rFonts w:ascii="宋体" w:hAnsi="宋体" w:hint="eastAsia"/>
          <w:bCs/>
          <w:color w:val="000000"/>
          <w:szCs w:val="21"/>
        </w:rPr>
        <w:t>重新认识与理解杜邦模型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  <w:r>
        <w:rPr>
          <w:rFonts w:ascii="宋体" w:hAnsi="宋体"/>
          <w:bCs/>
          <w:color w:val="000000"/>
          <w:szCs w:val="21"/>
        </w:rPr>
        <w:t xml:space="preserve">             2</w:t>
      </w:r>
      <w:r>
        <w:rPr>
          <w:rFonts w:ascii="宋体" w:hAnsi="宋体" w:hint="eastAsia"/>
          <w:bCs/>
          <w:color w:val="000000"/>
          <w:szCs w:val="21"/>
        </w:rPr>
        <w:t>）沃尔比重评分法</w:t>
      </w:r>
    </w:p>
    <w:p w14:paraId="6338FEB9" w14:textId="197F762A" w:rsidR="00716E2D" w:rsidRDefault="00716E2D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四、均衡增长方程</w:t>
      </w:r>
    </w:p>
    <w:p w14:paraId="693F6435" w14:textId="6E78CCFF" w:rsidR="00A052D0" w:rsidRPr="00513AAF" w:rsidRDefault="00716E2D" w:rsidP="00B72DAB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五</w:t>
      </w:r>
      <w:r w:rsidR="00A052D0">
        <w:rPr>
          <w:rFonts w:ascii="宋体" w:hAnsi="宋体" w:hint="eastAsia"/>
          <w:bCs/>
          <w:color w:val="000000"/>
          <w:szCs w:val="21"/>
        </w:rPr>
        <w:t>、报表分析的一般框架与经典案例讨论</w:t>
      </w:r>
    </w:p>
    <w:p w14:paraId="756A42FA" w14:textId="77777777" w:rsidR="00020BE4" w:rsidRDefault="00020BE4" w:rsidP="00020BE4">
      <w:pPr>
        <w:pStyle w:val="a3"/>
        <w:spacing w:line="520" w:lineRule="exact"/>
        <w:rPr>
          <w:rFonts w:hAnsi="宋体"/>
          <w:b/>
        </w:rPr>
      </w:pPr>
      <w:r w:rsidRPr="00EF0C2F">
        <w:rPr>
          <w:rFonts w:hAnsi="宋体" w:hint="eastAsia"/>
          <w:b/>
        </w:rPr>
        <w:t>【</w:t>
      </w:r>
      <w:r>
        <w:rPr>
          <w:rFonts w:hAnsi="宋体" w:hint="eastAsia"/>
          <w:b/>
        </w:rPr>
        <w:t>主</w:t>
      </w:r>
      <w:r w:rsidR="00E12977">
        <w:rPr>
          <w:rFonts w:hAnsi="宋体" w:hint="eastAsia"/>
          <w:b/>
        </w:rPr>
        <w:t>讲</w:t>
      </w:r>
      <w:r w:rsidR="00EA6216">
        <w:rPr>
          <w:rFonts w:hAnsi="宋体" w:hint="eastAsia"/>
          <w:b/>
        </w:rPr>
        <w:t>专家</w:t>
      </w:r>
      <w:r>
        <w:rPr>
          <w:rFonts w:hAnsi="宋体" w:hint="eastAsia"/>
          <w:b/>
        </w:rPr>
        <w:t>简介</w:t>
      </w:r>
      <w:r w:rsidRPr="00EF0C2F">
        <w:rPr>
          <w:rFonts w:hAnsi="宋体" w:hint="eastAsia"/>
          <w:b/>
        </w:rPr>
        <w:t>】</w:t>
      </w:r>
    </w:p>
    <w:p w14:paraId="3C0163C8" w14:textId="77777777" w:rsidR="00614945" w:rsidRDefault="00614945" w:rsidP="00614945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</w:t>
      </w:r>
      <w:r>
        <w:rPr>
          <w:rFonts w:ascii="宋体" w:hAnsi="宋体" w:hint="eastAsia"/>
          <w:bCs/>
          <w:color w:val="000000"/>
          <w:szCs w:val="21"/>
        </w:rPr>
        <w:lastRenderedPageBreak/>
        <w:t>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1C5DC9A6" w14:textId="77777777" w:rsidR="00614945" w:rsidRDefault="00614945" w:rsidP="00614945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</w:t>
      </w:r>
      <w:r>
        <w:rPr>
          <w:rFonts w:ascii="宋体" w:hAnsi="宋体" w:hint="eastAsia"/>
          <w:bCs/>
          <w:color w:val="000000"/>
          <w:szCs w:val="21"/>
        </w:rPr>
        <w:lastRenderedPageBreak/>
        <w:t>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714F28B" w14:textId="69DF873C" w:rsidR="00B72DAB" w:rsidRPr="00BC694B" w:rsidRDefault="00614945" w:rsidP="00614945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B72DAB" w:rsidRPr="00BC694B" w:rsidSect="00A742F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B920" w14:textId="77777777" w:rsidR="00461048" w:rsidRDefault="00461048">
      <w:r>
        <w:separator/>
      </w:r>
    </w:p>
  </w:endnote>
  <w:endnote w:type="continuationSeparator" w:id="0">
    <w:p w14:paraId="759F8C3A" w14:textId="77777777" w:rsidR="00461048" w:rsidRDefault="0046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313D" w14:textId="77777777" w:rsidR="00461048" w:rsidRDefault="00461048">
      <w:r>
        <w:separator/>
      </w:r>
    </w:p>
  </w:footnote>
  <w:footnote w:type="continuationSeparator" w:id="0">
    <w:p w14:paraId="50C8B819" w14:textId="77777777" w:rsidR="00461048" w:rsidRDefault="00461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2A54" w14:textId="77777777" w:rsidR="00A15BE6" w:rsidRDefault="00A15BE6" w:rsidP="0069334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F3"/>
    <w:rsid w:val="00020BE4"/>
    <w:rsid w:val="00037FC9"/>
    <w:rsid w:val="00043A33"/>
    <w:rsid w:val="0006294F"/>
    <w:rsid w:val="000655BE"/>
    <w:rsid w:val="00073E16"/>
    <w:rsid w:val="000C178D"/>
    <w:rsid w:val="000D0317"/>
    <w:rsid w:val="000D73DC"/>
    <w:rsid w:val="0010004B"/>
    <w:rsid w:val="001572D0"/>
    <w:rsid w:val="00175EAC"/>
    <w:rsid w:val="001810FF"/>
    <w:rsid w:val="001A181E"/>
    <w:rsid w:val="001B2A9B"/>
    <w:rsid w:val="001E4A4C"/>
    <w:rsid w:val="00207818"/>
    <w:rsid w:val="0024067B"/>
    <w:rsid w:val="002B0021"/>
    <w:rsid w:val="002E5B6A"/>
    <w:rsid w:val="00342AD5"/>
    <w:rsid w:val="00397F57"/>
    <w:rsid w:val="003A15DD"/>
    <w:rsid w:val="003A30E0"/>
    <w:rsid w:val="003E3302"/>
    <w:rsid w:val="00400F5F"/>
    <w:rsid w:val="00406CC1"/>
    <w:rsid w:val="00461048"/>
    <w:rsid w:val="00502398"/>
    <w:rsid w:val="00513AAF"/>
    <w:rsid w:val="00526DCD"/>
    <w:rsid w:val="00543EE7"/>
    <w:rsid w:val="00564016"/>
    <w:rsid w:val="00573449"/>
    <w:rsid w:val="005812EB"/>
    <w:rsid w:val="005C0F62"/>
    <w:rsid w:val="00610B78"/>
    <w:rsid w:val="00614945"/>
    <w:rsid w:val="0062356D"/>
    <w:rsid w:val="00681311"/>
    <w:rsid w:val="0069334A"/>
    <w:rsid w:val="006C1AC6"/>
    <w:rsid w:val="007041F1"/>
    <w:rsid w:val="00706794"/>
    <w:rsid w:val="00716E2D"/>
    <w:rsid w:val="0075637A"/>
    <w:rsid w:val="007C5FD1"/>
    <w:rsid w:val="007D1EA8"/>
    <w:rsid w:val="00834C95"/>
    <w:rsid w:val="00856295"/>
    <w:rsid w:val="00873769"/>
    <w:rsid w:val="00894626"/>
    <w:rsid w:val="0093107F"/>
    <w:rsid w:val="00934554"/>
    <w:rsid w:val="00935FBD"/>
    <w:rsid w:val="0093736F"/>
    <w:rsid w:val="009A5B9C"/>
    <w:rsid w:val="009E10F8"/>
    <w:rsid w:val="00A052D0"/>
    <w:rsid w:val="00A15BE6"/>
    <w:rsid w:val="00A30C29"/>
    <w:rsid w:val="00A45611"/>
    <w:rsid w:val="00A5382E"/>
    <w:rsid w:val="00A742FE"/>
    <w:rsid w:val="00A772F3"/>
    <w:rsid w:val="00A91A3D"/>
    <w:rsid w:val="00AD64E1"/>
    <w:rsid w:val="00B3127B"/>
    <w:rsid w:val="00B72147"/>
    <w:rsid w:val="00B72DAB"/>
    <w:rsid w:val="00B8286F"/>
    <w:rsid w:val="00B91A6D"/>
    <w:rsid w:val="00BB0B82"/>
    <w:rsid w:val="00BC694B"/>
    <w:rsid w:val="00BF5BB5"/>
    <w:rsid w:val="00C32BCC"/>
    <w:rsid w:val="00C61E16"/>
    <w:rsid w:val="00C72522"/>
    <w:rsid w:val="00CA52F1"/>
    <w:rsid w:val="00CA71ED"/>
    <w:rsid w:val="00CB5B2E"/>
    <w:rsid w:val="00CE113C"/>
    <w:rsid w:val="00CE7171"/>
    <w:rsid w:val="00D20F63"/>
    <w:rsid w:val="00DE4E1F"/>
    <w:rsid w:val="00DF128A"/>
    <w:rsid w:val="00E12977"/>
    <w:rsid w:val="00EA549C"/>
    <w:rsid w:val="00EA6216"/>
    <w:rsid w:val="00EE3BD8"/>
    <w:rsid w:val="00EF035D"/>
    <w:rsid w:val="00EF0C2F"/>
    <w:rsid w:val="00EF3D27"/>
    <w:rsid w:val="00F30855"/>
    <w:rsid w:val="00F67F7A"/>
    <w:rsid w:val="00F96827"/>
    <w:rsid w:val="00FB52C0"/>
    <w:rsid w:val="00F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A89752"/>
  <w15:docId w15:val="{415BE6F1-781E-44D8-AE34-ED89A7C9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2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772F3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a4">
    <w:name w:val="header"/>
    <w:basedOn w:val="a"/>
    <w:rsid w:val="00A77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77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basedOn w:val="a0"/>
    <w:rsid w:val="00A772F3"/>
    <w:rPr>
      <w:color w:val="0000FF"/>
      <w:u w:val="single"/>
    </w:rPr>
  </w:style>
  <w:style w:type="paragraph" w:styleId="a7">
    <w:name w:val="Normal (Web)"/>
    <w:basedOn w:val="a"/>
    <w:rsid w:val="00A772F3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基于经营决策的企业财务报表解读与分析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4</cp:revision>
  <dcterms:created xsi:type="dcterms:W3CDTF">2022-11-08T13:31:00Z</dcterms:created>
  <dcterms:modified xsi:type="dcterms:W3CDTF">2023-02-10T01:38:00Z</dcterms:modified>
</cp:coreProperties>
</file>