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color w:val="auto"/>
          <w:sz w:val="32"/>
          <w:szCs w:val="32"/>
        </w:rPr>
      </w:pPr>
      <w:bookmarkStart w:id="1" w:name="_GoBack"/>
      <w:bookmarkEnd w:id="1"/>
      <w:bookmarkStart w:id="0" w:name="OLE_LINK1"/>
      <w:r>
        <w:rPr>
          <w:rFonts w:hint="eastAsia" w:ascii="微软雅黑" w:hAnsi="微软雅黑" w:eastAsia="微软雅黑"/>
          <w:b/>
          <w:color w:val="auto"/>
          <w:sz w:val="32"/>
          <w:szCs w:val="32"/>
        </w:rPr>
        <w:t>销售</w:t>
      </w:r>
      <w:r>
        <w:rPr>
          <w:rFonts w:ascii="微软雅黑" w:hAnsi="微软雅黑" w:eastAsia="微软雅黑"/>
          <w:b/>
          <w:color w:val="auto"/>
          <w:sz w:val="32"/>
          <w:szCs w:val="32"/>
        </w:rPr>
        <w:t>罗盘</w:t>
      </w:r>
      <w:r>
        <w:rPr>
          <w:rFonts w:hint="eastAsia" w:ascii="微软雅黑" w:hAnsi="微软雅黑" w:eastAsia="微软雅黑"/>
          <w:b/>
          <w:color w:val="auto"/>
          <w:sz w:val="32"/>
          <w:szCs w:val="32"/>
        </w:rPr>
        <w:t>©</w:t>
      </w:r>
    </w:p>
    <w:p>
      <w:pPr>
        <w:jc w:val="center"/>
        <w:rPr>
          <w:rFonts w:ascii="微软雅黑" w:hAnsi="微软雅黑" w:eastAsia="微软雅黑"/>
          <w:b/>
          <w:color w:val="auto"/>
          <w:sz w:val="32"/>
          <w:szCs w:val="32"/>
        </w:rPr>
      </w:pPr>
      <w:r>
        <w:rPr>
          <w:rFonts w:ascii="微软雅黑" w:hAnsi="微软雅黑" w:eastAsia="微软雅黑"/>
          <w:b/>
          <w:color w:val="auto"/>
          <w:sz w:val="32"/>
          <w:szCs w:val="32"/>
        </w:rPr>
        <w:t>大客户</w:t>
      </w:r>
      <w:r>
        <w:rPr>
          <w:rFonts w:hint="eastAsia" w:ascii="微软雅黑" w:hAnsi="微软雅黑" w:eastAsia="微软雅黑"/>
          <w:b/>
          <w:color w:val="auto"/>
          <w:sz w:val="32"/>
          <w:szCs w:val="32"/>
        </w:rPr>
        <w:t>策略销售</w:t>
      </w:r>
    </w:p>
    <w:bookmarkEnd w:id="0"/>
    <w:p>
      <w:pPr>
        <w:widowControl/>
        <w:shd w:val="clear" w:color="auto" w:fill="FFFFFF"/>
        <w:spacing w:line="276" w:lineRule="auto"/>
        <w:jc w:val="left"/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【业务背景】</w:t>
      </w:r>
    </w:p>
    <w:p>
      <w:pPr>
        <w:widowControl/>
        <w:shd w:val="clear" w:color="auto" w:fill="FFFFFF"/>
        <w:spacing w:line="276" w:lineRule="auto"/>
        <w:jc w:val="left"/>
        <w:rPr>
          <w:rFonts w:ascii="微软雅黑" w:hAnsi="微软雅黑" w:eastAsia="微软雅黑" w:cs="宋体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当面对一个大项目，销售困惑：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接下来该找谁、做些什么呢？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该做的都做了，客户不签单，怎么办？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赢单还凭“关系”、靠“运气”吗？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怎么做才能赢单？</w:t>
      </w:r>
    </w:p>
    <w:p>
      <w:pPr>
        <w:widowControl/>
        <w:shd w:val="clear" w:color="auto" w:fill="FFFFFF"/>
        <w:spacing w:line="276" w:lineRule="auto"/>
        <w:jc w:val="left"/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经理想：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这单情况如何、赢率多少、何时签单？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申请专家支持，要费用，批还是不批？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重要项目不放心，还是我上吧！</w:t>
      </w:r>
    </w:p>
    <w:p>
      <w:pPr>
        <w:widowControl/>
        <w:shd w:val="clear" w:color="auto" w:fill="FFFFFF"/>
        <w:spacing w:line="276" w:lineRule="auto"/>
        <w:jc w:val="left"/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总裁和营销高管：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这季度业绩到底能完成多少？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Review时谁在讲故事、吹泡泡？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除了靠经验判断，还有什么办法？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招的人都不合适，看上的请不来？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【课程价值】</w:t>
      </w:r>
    </w:p>
    <w:p>
      <w:pPr>
        <w:widowControl/>
        <w:shd w:val="clear" w:color="auto" w:fill="FFFFFF"/>
        <w:spacing w:line="480" w:lineRule="exact"/>
        <w:ind w:firstLine="528" w:firstLineChars="220"/>
        <w:jc w:val="left"/>
        <w:rPr>
          <w:rFonts w:ascii="微软雅黑" w:hAnsi="微软雅黑" w:eastAsia="微软雅黑" w:cs="宋体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提升大客户销售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“控单力”</w:t>
      </w:r>
      <w:r>
        <w:rPr>
          <w:rFonts w:hint="eastAsia" w:ascii="微软雅黑" w:hAnsi="微软雅黑" w:eastAsia="微软雅黑" w:cs="宋体"/>
          <w:color w:val="auto"/>
          <w:kern w:val="0"/>
          <w:sz w:val="24"/>
          <w:szCs w:val="24"/>
        </w:rPr>
        <w:t>，帮助销售团队评估重要大项目销售机会、</w:t>
      </w:r>
      <w:r>
        <w:rPr>
          <w:rFonts w:ascii="微软雅黑" w:hAnsi="微软雅黑" w:eastAsia="微软雅黑" w:cs="宋体"/>
          <w:color w:val="auto"/>
          <w:kern w:val="0"/>
          <w:sz w:val="24"/>
          <w:szCs w:val="24"/>
        </w:rPr>
        <w:t>识别</w:t>
      </w:r>
      <w:r>
        <w:rPr>
          <w:rFonts w:hint="eastAsia" w:ascii="微软雅黑" w:hAnsi="微软雅黑" w:eastAsia="微软雅黑" w:cs="宋体"/>
          <w:color w:val="auto"/>
          <w:kern w:val="0"/>
          <w:sz w:val="24"/>
          <w:szCs w:val="24"/>
        </w:rPr>
        <w:t>潜在风险、</w:t>
      </w:r>
      <w:r>
        <w:rPr>
          <w:rFonts w:ascii="微软雅黑" w:hAnsi="微软雅黑" w:eastAsia="微软雅黑" w:cs="宋体"/>
          <w:color w:val="auto"/>
          <w:kern w:val="0"/>
          <w:sz w:val="24"/>
          <w:szCs w:val="24"/>
        </w:rPr>
        <w:t>找到赢单机会，</w:t>
      </w:r>
      <w:r>
        <w:rPr>
          <w:rFonts w:hint="eastAsia" w:ascii="微软雅黑" w:hAnsi="微软雅黑" w:eastAsia="微软雅黑" w:cs="宋体"/>
          <w:color w:val="auto"/>
          <w:kern w:val="0"/>
          <w:sz w:val="24"/>
          <w:szCs w:val="24"/>
        </w:rPr>
        <w:t>进行事前计划和资源协同，为团队和个人提供分析报告和建议策略。</w:t>
      </w:r>
    </w:p>
    <w:p>
      <w:pPr>
        <w:widowControl/>
        <w:shd w:val="clear" w:color="auto" w:fill="FFFFFF"/>
        <w:spacing w:line="480" w:lineRule="exact"/>
        <w:ind w:firstLine="528" w:firstLineChars="220"/>
        <w:jc w:val="left"/>
        <w:rPr>
          <w:rFonts w:ascii="微软雅黑" w:hAnsi="微软雅黑" w:eastAsia="微软雅黑" w:cs="宋体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对用户个人来说，</w:t>
      </w:r>
      <w:r>
        <w:rPr>
          <w:rFonts w:hint="eastAsia" w:ascii="微软雅黑" w:hAnsi="微软雅黑" w:eastAsia="微软雅黑" w:cs="宋体"/>
          <w:color w:val="auto"/>
          <w:kern w:val="0"/>
          <w:sz w:val="24"/>
          <w:szCs w:val="24"/>
        </w:rPr>
        <w:t>销售罗盘是一款项目分析、风险甄别、赢点捕捉、赢率预测、建议行动、资源配置的体系</w:t>
      </w:r>
      <w:r>
        <w:rPr>
          <w:rFonts w:ascii="微软雅黑" w:hAnsi="微软雅黑" w:eastAsia="微软雅黑" w:cs="宋体"/>
          <w:color w:val="auto"/>
          <w:kern w:val="0"/>
          <w:sz w:val="24"/>
          <w:szCs w:val="24"/>
        </w:rPr>
        <w:t>和方法</w:t>
      </w:r>
      <w:r>
        <w:rPr>
          <w:rFonts w:hint="eastAsia" w:ascii="微软雅黑" w:hAnsi="微软雅黑" w:eastAsia="微软雅黑" w:cs="宋体"/>
          <w:color w:val="auto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宋体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对营销组织来说，</w:t>
      </w:r>
      <w:r>
        <w:rPr>
          <w:rFonts w:hint="eastAsia" w:ascii="微软雅黑" w:hAnsi="微软雅黑" w:eastAsia="微软雅黑" w:cs="宋体"/>
          <w:color w:val="auto"/>
          <w:kern w:val="0"/>
          <w:sz w:val="24"/>
          <w:szCs w:val="24"/>
        </w:rPr>
        <w:t>支持跨部门项目沟通协同，精准销售预测，优化组织资源调配，系统提升组织销售绩效。</w:t>
      </w:r>
    </w:p>
    <w:p>
      <w:pPr>
        <w:widowControl/>
        <w:shd w:val="clear" w:color="auto" w:fill="FFFFFF"/>
        <w:spacing w:line="480" w:lineRule="exact"/>
        <w:ind w:firstLine="511" w:firstLineChars="213"/>
        <w:jc w:val="left"/>
        <w:rPr>
          <w:rFonts w:hint="eastAsia" w:ascii="微软雅黑" w:hAnsi="微软雅黑" w:eastAsia="微软雅黑" w:cs="宋体"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【课程</w:t>
      </w:r>
      <w:r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定位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】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适用：</w:t>
      </w: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B2B销售，包括项目型、持续型、</w:t>
      </w:r>
      <w:r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  <w:t>工</w:t>
      </w: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业</w:t>
      </w:r>
      <w:r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  <w:t>品</w:t>
      </w: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等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定位：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ascii="微软雅黑" w:hAnsi="微软雅黑" w:eastAsia="微软雅黑"/>
          <w:bCs/>
          <w:color w:val="auto"/>
          <w:sz w:val="24"/>
          <w:szCs w:val="24"/>
        </w:rPr>
      </w:pPr>
      <w:r>
        <w:rPr>
          <w:rFonts w:ascii="微软雅黑" w:hAnsi="微软雅黑" w:eastAsia="微软雅黑"/>
          <w:bCs/>
          <w:color w:val="auto"/>
          <w:sz w:val="24"/>
          <w:szCs w:val="24"/>
        </w:rPr>
        <w:t>销售</w:t>
      </w:r>
      <w:r>
        <w:rPr>
          <w:rFonts w:hint="eastAsia" w:ascii="微软雅黑" w:hAnsi="微软雅黑" w:eastAsia="微软雅黑"/>
          <w:bCs/>
          <w:color w:val="auto"/>
          <w:sz w:val="24"/>
          <w:szCs w:val="24"/>
        </w:rPr>
        <w:t>之庙算，结构化分析销售形势，制定清晰有效策略！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ascii="微软雅黑" w:hAnsi="微软雅黑" w:eastAsia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auto"/>
          <w:sz w:val="24"/>
          <w:szCs w:val="24"/>
        </w:rPr>
        <w:t>谋定而动，根据策略，逻辑化制定具体行动和资源计划！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ascii="微软雅黑" w:hAnsi="微软雅黑" w:eastAsia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auto"/>
          <w:sz w:val="24"/>
          <w:szCs w:val="24"/>
        </w:rPr>
        <w:t>建立团队共识，形成统一语言、应用专业工具！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目标：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ascii="微软雅黑" w:hAnsi="微软雅黑" w:eastAsia="微软雅黑"/>
          <w:bCs/>
          <w:color w:val="auto"/>
          <w:sz w:val="24"/>
          <w:szCs w:val="24"/>
        </w:rPr>
      </w:pPr>
      <w:r>
        <w:rPr>
          <w:rFonts w:ascii="微软雅黑" w:hAnsi="微软雅黑" w:eastAsia="微软雅黑"/>
          <w:bCs/>
          <w:color w:val="auto"/>
          <w:sz w:val="24"/>
          <w:szCs w:val="24"/>
        </w:rPr>
        <w:t xml:space="preserve"> 建立大项目</w:t>
      </w:r>
      <w:r>
        <w:rPr>
          <w:rFonts w:hint="eastAsia" w:ascii="微软雅黑" w:hAnsi="微软雅黑" w:eastAsia="微软雅黑"/>
          <w:bCs/>
          <w:color w:val="auto"/>
          <w:sz w:val="24"/>
          <w:szCs w:val="24"/>
        </w:rPr>
        <w:t>结构化、流程化的形势分析与策略制定流程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ascii="微软雅黑" w:hAnsi="微软雅黑" w:eastAsia="微软雅黑"/>
          <w:bCs/>
          <w:color w:val="auto"/>
          <w:sz w:val="24"/>
          <w:szCs w:val="24"/>
        </w:rPr>
      </w:pPr>
      <w:r>
        <w:rPr>
          <w:rFonts w:ascii="微软雅黑" w:hAnsi="微软雅黑" w:eastAsia="微软雅黑"/>
          <w:bCs/>
          <w:color w:val="auto"/>
          <w:sz w:val="24"/>
          <w:szCs w:val="24"/>
        </w:rPr>
        <w:t xml:space="preserve"> 分析大项目决策</w:t>
      </w:r>
      <w:r>
        <w:rPr>
          <w:rFonts w:hint="eastAsia" w:ascii="微软雅黑" w:hAnsi="微软雅黑" w:eastAsia="微软雅黑"/>
          <w:bCs/>
          <w:color w:val="auto"/>
          <w:sz w:val="24"/>
          <w:szCs w:val="24"/>
        </w:rPr>
        <w:t>角色、决策影响力、决策流程、决策结构</w:t>
      </w:r>
    </w:p>
    <w:p>
      <w:pPr>
        <w:pStyle w:val="12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ascii="微软雅黑" w:hAnsi="微软雅黑" w:eastAsia="微软雅黑"/>
          <w:bCs/>
          <w:color w:val="auto"/>
          <w:sz w:val="24"/>
          <w:szCs w:val="24"/>
        </w:rPr>
      </w:pPr>
      <w:r>
        <w:rPr>
          <w:rFonts w:ascii="微软雅黑" w:hAnsi="微软雅黑" w:eastAsia="微软雅黑"/>
          <w:bCs/>
          <w:color w:val="auto"/>
          <w:sz w:val="24"/>
          <w:szCs w:val="24"/>
        </w:rPr>
        <w:t xml:space="preserve"> 发现项目潜在</w:t>
      </w:r>
      <w:r>
        <w:rPr>
          <w:rFonts w:hint="eastAsia" w:ascii="微软雅黑" w:hAnsi="微软雅黑" w:eastAsia="微软雅黑"/>
          <w:bCs/>
          <w:color w:val="auto"/>
          <w:sz w:val="24"/>
          <w:szCs w:val="24"/>
        </w:rPr>
        <w:t>风险，锻炼并形成全局意识和策略思维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对象：</w:t>
      </w: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总经理、销售总监、大客户经理、从事销售三年以上的大客户经理；</w:t>
      </w:r>
    </w:p>
    <w:p>
      <w:pPr>
        <w:widowControl/>
        <w:shd w:val="clear" w:color="auto" w:fill="FFFFFF"/>
        <w:spacing w:line="276" w:lineRule="auto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形式：</w:t>
      </w: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体验式案例实战</w:t>
      </w:r>
      <w:r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  <w:t>对抗</w:t>
      </w: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、在线沙</w:t>
      </w:r>
      <w:r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  <w:t>盘</w:t>
      </w: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对抗</w:t>
      </w:r>
      <w:r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  <w:t>平台</w:t>
      </w: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、亲身感受销售奥妙与精彩！</w:t>
      </w:r>
    </w:p>
    <w:p>
      <w:pPr>
        <w:widowControl/>
        <w:shd w:val="clear" w:color="auto" w:fill="FFFFFF"/>
        <w:spacing w:line="276" w:lineRule="auto"/>
        <w:ind w:firstLine="1231" w:firstLineChars="513"/>
        <w:jc w:val="left"/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激活经验——案例体验——认知反思——理论点评——行动验证</w:t>
      </w:r>
    </w:p>
    <w:p>
      <w:pPr>
        <w:widowControl/>
        <w:shd w:val="clear" w:color="auto" w:fill="FFFFFF"/>
        <w:spacing w:line="276" w:lineRule="auto"/>
        <w:ind w:firstLine="1231" w:firstLineChars="513"/>
        <w:jc w:val="left"/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</w:pPr>
    </w:p>
    <w:p>
      <w:pPr>
        <w:pStyle w:val="6"/>
        <w:kinsoku w:val="0"/>
        <w:overflowPunct w:val="0"/>
        <w:spacing w:before="0" w:beforeAutospacing="0" w:after="0" w:afterAutospacing="0" w:line="276" w:lineRule="auto"/>
        <w:ind w:firstLine="480" w:firstLineChars="200"/>
        <w:textAlignment w:val="baseline"/>
        <w:rPr>
          <w:rFonts w:ascii="微软雅黑" w:hAnsi="微软雅黑" w:eastAsia="微软雅黑" w:cs="Times New Roman"/>
          <w:color w:val="auto"/>
          <w:kern w:val="24"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bCs/>
          <w:color w:val="auto"/>
          <w:kern w:val="24"/>
          <w:sz w:val="24"/>
          <w:szCs w:val="24"/>
        </w:rPr>
        <w:t>课程时间：</w:t>
      </w:r>
      <w:r>
        <w:rPr>
          <w:rFonts w:hint="eastAsia" w:ascii="微软雅黑" w:hAnsi="微软雅黑" w:eastAsia="微软雅黑" w:cs="Times New Roman"/>
          <w:color w:val="auto"/>
          <w:kern w:val="24"/>
          <w:sz w:val="24"/>
          <w:szCs w:val="24"/>
        </w:rPr>
        <w:t>2天（14小时）</w:t>
      </w:r>
    </w:p>
    <w:p>
      <w:pPr>
        <w:spacing w:line="276" w:lineRule="auto"/>
        <w:jc w:val="center"/>
        <w:rPr>
          <w:color w:val="auto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某集团企业四年间130余场深受学员喜爱，持续应用后大项目赢单案例精彩不断！</w:t>
      </w:r>
    </w:p>
    <w:p>
      <w:pPr>
        <w:widowControl/>
        <w:shd w:val="clear" w:color="auto" w:fill="FFFFFF"/>
        <w:spacing w:line="400" w:lineRule="exact"/>
        <w:ind w:firstLine="511" w:firstLineChars="213"/>
        <w:jc w:val="left"/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历经咨询</w:t>
      </w:r>
      <w:r>
        <w:rPr>
          <w:rFonts w:ascii="微软雅黑" w:hAnsi="微软雅黑" w:eastAsia="微软雅黑" w:cs="宋体"/>
          <w:bCs/>
          <w:color w:val="auto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宋体"/>
          <w:bCs/>
          <w:color w:val="auto"/>
          <w:kern w:val="0"/>
          <w:sz w:val="24"/>
          <w:szCs w:val="24"/>
        </w:rPr>
        <w:t>电信、银行、证券、保险、军工、IT、通讯、设备、工程、咨询、广告等多行业验证。</w:t>
      </w:r>
    </w:p>
    <w:p>
      <w:pPr>
        <w:widowControl/>
        <w:ind w:firstLine="840" w:firstLineChars="350"/>
        <w:jc w:val="left"/>
        <w:rPr>
          <w:rFonts w:ascii="微软雅黑" w:hAnsi="微软雅黑" w:eastAsia="微软雅黑"/>
          <w:color w:val="auto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【训练</w:t>
      </w:r>
      <w:r>
        <w:rPr>
          <w:rFonts w:ascii="微软雅黑" w:hAnsi="微软雅黑" w:eastAsia="微软雅黑" w:cs="宋体"/>
          <w:b/>
          <w:bCs/>
          <w:color w:val="auto"/>
          <w:kern w:val="0"/>
          <w:sz w:val="24"/>
          <w:szCs w:val="24"/>
        </w:rPr>
        <w:t>过程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】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课前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在线学习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自学微课《赢单九问》</w:t>
      </w: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ab/>
      </w: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提前了解知识点（选学）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D1课中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>导入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了解背景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明确规则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案例对抗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ab/>
      </w:r>
    </w:p>
    <w:p>
      <w:pPr>
        <w:widowControl/>
        <w:numPr>
          <w:ilvl w:val="0"/>
          <w:numId w:val="2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了解课程背景与目标</w:t>
      </w:r>
    </w:p>
    <w:p>
      <w:pPr>
        <w:widowControl/>
        <w:numPr>
          <w:ilvl w:val="0"/>
          <w:numId w:val="2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明确实战对抗训练规则</w:t>
      </w:r>
    </w:p>
    <w:p>
      <w:pPr>
        <w:widowControl/>
        <w:numPr>
          <w:ilvl w:val="0"/>
          <w:numId w:val="2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第一阶段案例对抗</w:t>
      </w: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ab/>
      </w:r>
    </w:p>
    <w:p>
      <w:pPr>
        <w:widowControl/>
        <w:numPr>
          <w:numId w:val="0"/>
        </w:numPr>
        <w:shd w:val="clear" w:color="auto" w:fill="FFFFFF"/>
        <w:spacing w:line="276" w:lineRule="auto"/>
        <w:ind w:leftChars="0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核心技能：</w:t>
      </w:r>
    </w:p>
    <w:p>
      <w:pPr>
        <w:widowControl/>
        <w:numPr>
          <w:ilvl w:val="0"/>
          <w:numId w:val="3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定位大项目控单要点，明确训练目标</w:t>
      </w:r>
    </w:p>
    <w:p>
      <w:pPr>
        <w:widowControl/>
        <w:numPr>
          <w:ilvl w:val="0"/>
          <w:numId w:val="3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理解基本概念，能够应用于案例对抗</w:t>
      </w:r>
    </w:p>
    <w:p>
      <w:pPr>
        <w:widowControl/>
        <w:numPr>
          <w:ilvl w:val="0"/>
          <w:numId w:val="3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通过案例聚焦“如何定位项目”问题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>识局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ab/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识别目标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判断形势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识别角色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ab/>
      </w:r>
    </w:p>
    <w:p>
      <w:pPr>
        <w:widowControl/>
        <w:numPr>
          <w:ilvl w:val="0"/>
          <w:numId w:val="4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明确一个销售目标</w:t>
      </w: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ab/>
      </w:r>
    </w:p>
    <w:p>
      <w:pPr>
        <w:widowControl/>
        <w:numPr>
          <w:ilvl w:val="0"/>
          <w:numId w:val="4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判断一个项目的形势</w:t>
      </w:r>
    </w:p>
    <w:p>
      <w:pPr>
        <w:widowControl/>
        <w:numPr>
          <w:ilvl w:val="0"/>
          <w:numId w:val="4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识别多种关键角色</w:t>
      </w:r>
    </w:p>
    <w:p>
      <w:pPr>
        <w:widowControl/>
        <w:numPr>
          <w:ilvl w:val="0"/>
          <w:numId w:val="0"/>
        </w:numPr>
        <w:shd w:val="clear" w:color="auto" w:fill="FFFFFF"/>
        <w:spacing w:line="276" w:lineRule="auto"/>
        <w:ind w:left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核心技能：</w:t>
      </w:r>
    </w:p>
    <w:p>
      <w:pPr>
        <w:widowControl/>
        <w:numPr>
          <w:ilvl w:val="0"/>
          <w:numId w:val="5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理解客户为什么购买的原理</w:t>
      </w:r>
    </w:p>
    <w:p>
      <w:pPr>
        <w:widowControl/>
        <w:numPr>
          <w:ilvl w:val="0"/>
          <w:numId w:val="5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理解政策与环境对客户购买动机的影响</w:t>
      </w:r>
    </w:p>
    <w:p>
      <w:pPr>
        <w:widowControl/>
        <w:numPr>
          <w:ilvl w:val="0"/>
          <w:numId w:val="5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通过阶段、竞争、客户紧迫程度判断项目真实进展情况，以便制定相应策略</w:t>
      </w:r>
    </w:p>
    <w:p>
      <w:pPr>
        <w:widowControl/>
        <w:numPr>
          <w:ilvl w:val="0"/>
          <w:numId w:val="5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判断客户项目中的几种角色，他们分别的特点、识别方法，应对方法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>拆局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案例对抗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判断态度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影响力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分析价值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ab/>
      </w:r>
    </w:p>
    <w:p>
      <w:pPr>
        <w:widowControl/>
        <w:numPr>
          <w:ilvl w:val="0"/>
          <w:numId w:val="6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第二阶段案例对抗</w:t>
      </w:r>
    </w:p>
    <w:p>
      <w:pPr>
        <w:widowControl/>
        <w:numPr>
          <w:ilvl w:val="0"/>
          <w:numId w:val="6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判断客户积极与消极态度</w:t>
      </w:r>
    </w:p>
    <w:p>
      <w:pPr>
        <w:widowControl/>
        <w:numPr>
          <w:ilvl w:val="0"/>
          <w:numId w:val="6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分析角色参与度与影响力</w:t>
      </w:r>
    </w:p>
    <w:p>
      <w:pPr>
        <w:widowControl/>
        <w:numPr>
          <w:ilvl w:val="0"/>
          <w:numId w:val="6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分析客户决策动因&amp;动机</w:t>
      </w:r>
    </w:p>
    <w:p>
      <w:pPr>
        <w:widowControl/>
        <w:numPr>
          <w:numId w:val="0"/>
        </w:numPr>
        <w:shd w:val="clear" w:color="auto" w:fill="FFFFFF"/>
        <w:spacing w:line="276" w:lineRule="auto"/>
        <w:ind w:left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核心技能：</w:t>
      </w:r>
    </w:p>
    <w:p>
      <w:pPr>
        <w:widowControl/>
        <w:numPr>
          <w:ilvl w:val="0"/>
          <w:numId w:val="7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通过案例聚焦“如何分析项目”问题</w:t>
      </w:r>
    </w:p>
    <w:p>
      <w:pPr>
        <w:widowControl/>
        <w:numPr>
          <w:ilvl w:val="0"/>
          <w:numId w:val="7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理解客户为什么积极、消极，如何判断分析客户在项目中的态度，以便制定不同的应对策略（方法/技巧/话术）</w:t>
      </w:r>
    </w:p>
    <w:p>
      <w:pPr>
        <w:widowControl/>
        <w:numPr>
          <w:ilvl w:val="0"/>
          <w:numId w:val="7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通过分析，理解客户中哪些人、什么时间、以什么方式参与决策，销售如何“顺势而为”找到关键人、做对事</w:t>
      </w:r>
    </w:p>
    <w:p>
      <w:pPr>
        <w:widowControl/>
        <w:numPr>
          <w:ilvl w:val="0"/>
          <w:numId w:val="7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项目对客户的组织/对公意味着什么，对个人/对己意味着什么，如何分析判断</w:t>
      </w:r>
    </w:p>
    <w:p>
      <w:pPr>
        <w:widowControl/>
        <w:numPr>
          <w:numId w:val="0"/>
        </w:numPr>
        <w:shd w:val="clear" w:color="auto" w:fill="FFFFFF"/>
        <w:spacing w:line="276" w:lineRule="auto"/>
        <w:ind w:left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>D2课中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</w:rPr>
        <w:t>布局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8"/>
          <w:szCs w:val="28"/>
          <w:lang w:eastAsia="zh-CN"/>
        </w:rPr>
        <w:t>：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案例对抗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制定策略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部署资源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应对竞争</w:t>
      </w:r>
    </w:p>
    <w:p>
      <w:pPr>
        <w:widowControl/>
        <w:numPr>
          <w:ilvl w:val="0"/>
          <w:numId w:val="8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第三阶段案例对抗</w:t>
      </w: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ab/>
      </w:r>
    </w:p>
    <w:p>
      <w:pPr>
        <w:widowControl/>
        <w:numPr>
          <w:ilvl w:val="0"/>
          <w:numId w:val="8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制定不同角色应对策略</w:t>
      </w:r>
    </w:p>
    <w:p>
      <w:pPr>
        <w:widowControl/>
        <w:numPr>
          <w:ilvl w:val="0"/>
          <w:numId w:val="8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协调适当资源支持项目</w:t>
      </w:r>
    </w:p>
    <w:p>
      <w:pPr>
        <w:widowControl/>
        <w:numPr>
          <w:ilvl w:val="0"/>
          <w:numId w:val="8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制定应对竞争的策略方法</w:t>
      </w:r>
    </w:p>
    <w:p>
      <w:pPr>
        <w:widowControl/>
        <w:numPr>
          <w:ilvl w:val="0"/>
          <w:numId w:val="0"/>
        </w:numPr>
        <w:shd w:val="clear" w:color="auto" w:fill="FFFFFF"/>
        <w:spacing w:line="276" w:lineRule="auto"/>
        <w:ind w:left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核心技能：</w:t>
      </w:r>
    </w:p>
    <w:p>
      <w:pPr>
        <w:widowControl/>
        <w:numPr>
          <w:ilvl w:val="0"/>
          <w:numId w:val="9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通过案例聚焦“制定应对策略”问题</w:t>
      </w:r>
    </w:p>
    <w:p>
      <w:pPr>
        <w:widowControl/>
        <w:numPr>
          <w:ilvl w:val="0"/>
          <w:numId w:val="9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对决策人、使用部门、技术人员、内线等角色的应对技巧与沟通方法</w:t>
      </w:r>
    </w:p>
    <w:p>
      <w:pPr>
        <w:widowControl/>
        <w:numPr>
          <w:ilvl w:val="0"/>
          <w:numId w:val="9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售前资源在项目不同阶段的应用策略与方法，使资源应用更针对性、更高效</w:t>
      </w:r>
    </w:p>
    <w:p>
      <w:pPr>
        <w:widowControl/>
        <w:numPr>
          <w:ilvl w:val="0"/>
          <w:numId w:val="9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应对优势竞争、劣势竞争、价格差异等不同形势，制定有效的攻防策略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</w:rPr>
        <w:t>应用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案例对抗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结果分析</w:t>
      </w:r>
    </w:p>
    <w:p>
      <w:pPr>
        <w:widowControl/>
        <w:numPr>
          <w:ilvl w:val="0"/>
          <w:numId w:val="10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第四阶段案例对抗</w:t>
      </w:r>
    </w:p>
    <w:p>
      <w:pPr>
        <w:widowControl/>
        <w:numPr>
          <w:ilvl w:val="0"/>
          <w:numId w:val="10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各组结果与能力综合分析</w:t>
      </w:r>
    </w:p>
    <w:p>
      <w:pPr>
        <w:widowControl/>
        <w:numPr>
          <w:ilvl w:val="0"/>
          <w:numId w:val="0"/>
        </w:numPr>
        <w:shd w:val="clear" w:color="auto" w:fill="FFFFFF"/>
        <w:spacing w:line="276" w:lineRule="auto"/>
        <w:ind w:left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核心技能：</w:t>
      </w:r>
    </w:p>
    <w:p>
      <w:pPr>
        <w:widowControl/>
        <w:numPr>
          <w:ilvl w:val="0"/>
          <w:numId w:val="11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通过案例验证所学知识，即学即用</w:t>
      </w:r>
    </w:p>
    <w:p>
      <w:pPr>
        <w:widowControl/>
        <w:numPr>
          <w:ilvl w:val="0"/>
          <w:numId w:val="11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总结成绩、直面差距、制定针对计划</w:t>
      </w:r>
    </w:p>
    <w:p>
      <w:pPr>
        <w:widowControl/>
        <w:numPr>
          <w:numId w:val="0"/>
        </w:numPr>
        <w:shd w:val="clear" w:color="auto" w:fill="FFFFFF"/>
        <w:spacing w:line="276" w:lineRule="auto"/>
        <w:ind w:left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</w:rPr>
        <w:t>总结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要点总结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工具方法及知识要点总结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心得分享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ab/>
      </w:r>
    </w:p>
    <w:p>
      <w:pPr>
        <w:widowControl/>
        <w:numPr>
          <w:ilvl w:val="0"/>
          <w:numId w:val="12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回顾总体流程</w:t>
      </w:r>
    </w:p>
    <w:p>
      <w:pPr>
        <w:widowControl/>
        <w:numPr>
          <w:ilvl w:val="0"/>
          <w:numId w:val="12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学员训练心得分享</w:t>
      </w: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ab/>
      </w:r>
    </w:p>
    <w:p>
      <w:pPr>
        <w:widowControl/>
        <w:numPr>
          <w:numId w:val="0"/>
        </w:numPr>
        <w:shd w:val="clear" w:color="auto" w:fill="FFFFFF"/>
        <w:spacing w:line="276" w:lineRule="auto"/>
        <w:ind w:left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</w:rPr>
        <w:t>课后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2"/>
          <w:szCs w:val="32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跟踪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</w:rPr>
        <w:t>强化</w:t>
      </w:r>
    </w:p>
    <w:p>
      <w:pPr>
        <w:widowControl/>
        <w:numPr>
          <w:ilvl w:val="0"/>
          <w:numId w:val="13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跟踪应用</w:t>
      </w:r>
    </w:p>
    <w:p>
      <w:pPr>
        <w:widowControl/>
        <w:numPr>
          <w:ilvl w:val="0"/>
          <w:numId w:val="13"/>
        </w:numPr>
        <w:shd w:val="clear" w:color="auto" w:fill="FFFFFF"/>
        <w:spacing w:line="276" w:lineRule="auto"/>
        <w:ind w:left="425" w:leftChars="0" w:hanging="425" w:firstLine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集中强化</w:t>
      </w: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ab/>
      </w:r>
    </w:p>
    <w:p>
      <w:pPr>
        <w:widowControl/>
        <w:numPr>
          <w:ilvl w:val="0"/>
          <w:numId w:val="0"/>
        </w:numPr>
        <w:shd w:val="clear" w:color="auto" w:fill="FFFFFF"/>
        <w:spacing w:line="276" w:lineRule="auto"/>
        <w:ind w:leftChars="0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24"/>
          <w:szCs w:val="24"/>
          <w:lang w:eastAsia="zh-CN"/>
        </w:rPr>
        <w:t>核心技能：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在线社区，实时跟踪答疑</w:t>
      </w: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ab/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>通过3~6小时面对面强化</w:t>
      </w:r>
      <w:r>
        <w:rPr>
          <w:rFonts w:hint="eastAsia" w:ascii="微软雅黑" w:hAnsi="微软雅黑" w:eastAsia="微软雅黑" w:cs="宋体"/>
          <w:b w:val="0"/>
          <w:bCs w:val="0"/>
          <w:color w:val="auto"/>
          <w:kern w:val="0"/>
          <w:sz w:val="24"/>
          <w:szCs w:val="24"/>
        </w:rPr>
        <w:tab/>
      </w:r>
    </w:p>
    <w:p>
      <w:pPr>
        <w:spacing w:line="360" w:lineRule="auto"/>
        <w:rPr>
          <w:rFonts w:ascii="微软雅黑" w:hAnsi="微软雅黑" w:eastAsia="微软雅黑"/>
          <w:b/>
          <w:color w:val="auto"/>
          <w:sz w:val="24"/>
          <w:szCs w:val="24"/>
        </w:rPr>
      </w:pPr>
    </w:p>
    <w:p>
      <w:pPr>
        <w:spacing w:line="360" w:lineRule="auto"/>
        <w:rPr>
          <w:rFonts w:ascii="微软雅黑" w:hAnsi="微软雅黑" w:eastAsia="微软雅黑"/>
          <w:b/>
          <w:color w:val="auto"/>
          <w:kern w:val="21"/>
          <w:sz w:val="24"/>
          <w:szCs w:val="24"/>
        </w:rPr>
      </w:pPr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ind w:right="810"/>
      <w:rPr>
        <w:rFonts w:ascii="微软雅黑" w:hAnsi="微软雅黑" w:eastAsia="微软雅黑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9695A"/>
    <w:multiLevelType w:val="singleLevel"/>
    <w:tmpl w:val="800969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8D601974"/>
    <w:multiLevelType w:val="singleLevel"/>
    <w:tmpl w:val="8D6019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A851CD51"/>
    <w:multiLevelType w:val="singleLevel"/>
    <w:tmpl w:val="A851CD5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A86AC6B3"/>
    <w:multiLevelType w:val="singleLevel"/>
    <w:tmpl w:val="A86AC6B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B0C444A7"/>
    <w:multiLevelType w:val="singleLevel"/>
    <w:tmpl w:val="B0C444A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B45CA1F9"/>
    <w:multiLevelType w:val="singleLevel"/>
    <w:tmpl w:val="B45CA1F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E555A23E"/>
    <w:multiLevelType w:val="singleLevel"/>
    <w:tmpl w:val="E555A23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05059610"/>
    <w:multiLevelType w:val="singleLevel"/>
    <w:tmpl w:val="050596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0DAB7B55"/>
    <w:multiLevelType w:val="multilevel"/>
    <w:tmpl w:val="0DAB7B55"/>
    <w:lvl w:ilvl="0" w:tentative="0">
      <w:start w:val="1"/>
      <w:numFmt w:val="bullet"/>
      <w:lvlText w:val=""/>
      <w:lvlJc w:val="left"/>
      <w:pPr>
        <w:ind w:left="107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9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1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3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5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7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9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1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37" w:hanging="420"/>
      </w:pPr>
      <w:rPr>
        <w:rFonts w:hint="default" w:ascii="Wingdings" w:hAnsi="Wingdings"/>
      </w:rPr>
    </w:lvl>
  </w:abstractNum>
  <w:abstractNum w:abstractNumId="9">
    <w:nsid w:val="2FF65BCC"/>
    <w:multiLevelType w:val="singleLevel"/>
    <w:tmpl w:val="2FF65BC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3FF5AF52"/>
    <w:multiLevelType w:val="singleLevel"/>
    <w:tmpl w:val="3FF5AF5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5B7CEDB8"/>
    <w:multiLevelType w:val="singleLevel"/>
    <w:tmpl w:val="5B7CEDB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2">
    <w:nsid w:val="60777246"/>
    <w:multiLevelType w:val="singleLevel"/>
    <w:tmpl w:val="6077724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12"/>
  </w:num>
  <w:num w:numId="7">
    <w:abstractNumId w:val="6"/>
  </w:num>
  <w:num w:numId="8">
    <w:abstractNumId w:val="4"/>
  </w:num>
  <w:num w:numId="9">
    <w:abstractNumId w:val="11"/>
  </w:num>
  <w:num w:numId="10">
    <w:abstractNumId w:val="0"/>
  </w:num>
  <w:num w:numId="11">
    <w:abstractNumId w:val="1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TVhNjI1YjkyNmU1MTAyMTNkNDE2MmQ2Y2E5OTAifQ=="/>
  </w:docVars>
  <w:rsids>
    <w:rsidRoot w:val="0020786C"/>
    <w:rsid w:val="00031524"/>
    <w:rsid w:val="0003760A"/>
    <w:rsid w:val="000B0231"/>
    <w:rsid w:val="000E24EA"/>
    <w:rsid w:val="00113B6B"/>
    <w:rsid w:val="0012756F"/>
    <w:rsid w:val="00137617"/>
    <w:rsid w:val="00196361"/>
    <w:rsid w:val="001A7FA2"/>
    <w:rsid w:val="001E59EC"/>
    <w:rsid w:val="0020786C"/>
    <w:rsid w:val="00296EC0"/>
    <w:rsid w:val="002B4D62"/>
    <w:rsid w:val="002C692A"/>
    <w:rsid w:val="002C6D36"/>
    <w:rsid w:val="002D031C"/>
    <w:rsid w:val="002F75D3"/>
    <w:rsid w:val="00304DDD"/>
    <w:rsid w:val="003176CF"/>
    <w:rsid w:val="00334F71"/>
    <w:rsid w:val="00351D5A"/>
    <w:rsid w:val="003576EA"/>
    <w:rsid w:val="00392BE0"/>
    <w:rsid w:val="003E6EB1"/>
    <w:rsid w:val="003F65ED"/>
    <w:rsid w:val="00490D33"/>
    <w:rsid w:val="00556A5F"/>
    <w:rsid w:val="005636C8"/>
    <w:rsid w:val="00633812"/>
    <w:rsid w:val="006A236D"/>
    <w:rsid w:val="006B4D20"/>
    <w:rsid w:val="006D2756"/>
    <w:rsid w:val="006F0271"/>
    <w:rsid w:val="00727CCD"/>
    <w:rsid w:val="007361DB"/>
    <w:rsid w:val="00740B2F"/>
    <w:rsid w:val="00747556"/>
    <w:rsid w:val="00751F05"/>
    <w:rsid w:val="007E0930"/>
    <w:rsid w:val="00865C00"/>
    <w:rsid w:val="00871493"/>
    <w:rsid w:val="008762CB"/>
    <w:rsid w:val="008F43F3"/>
    <w:rsid w:val="00904E1F"/>
    <w:rsid w:val="00912B98"/>
    <w:rsid w:val="00917AD1"/>
    <w:rsid w:val="00925E7E"/>
    <w:rsid w:val="00930772"/>
    <w:rsid w:val="00940AAC"/>
    <w:rsid w:val="00987F6A"/>
    <w:rsid w:val="009F5775"/>
    <w:rsid w:val="009F762A"/>
    <w:rsid w:val="00A048C0"/>
    <w:rsid w:val="00A2243A"/>
    <w:rsid w:val="00A35E85"/>
    <w:rsid w:val="00B16183"/>
    <w:rsid w:val="00B414DC"/>
    <w:rsid w:val="00B81FAA"/>
    <w:rsid w:val="00BB7351"/>
    <w:rsid w:val="00BF4FEE"/>
    <w:rsid w:val="00C04423"/>
    <w:rsid w:val="00C2091E"/>
    <w:rsid w:val="00C63859"/>
    <w:rsid w:val="00C7503A"/>
    <w:rsid w:val="00CB38A5"/>
    <w:rsid w:val="00CB6544"/>
    <w:rsid w:val="00CE584B"/>
    <w:rsid w:val="00DB05C5"/>
    <w:rsid w:val="00DD44B1"/>
    <w:rsid w:val="00E52F59"/>
    <w:rsid w:val="00E61ADC"/>
    <w:rsid w:val="00E778B7"/>
    <w:rsid w:val="00EC1168"/>
    <w:rsid w:val="00F01BE9"/>
    <w:rsid w:val="00F338C1"/>
    <w:rsid w:val="00F6038B"/>
    <w:rsid w:val="00F9498D"/>
    <w:rsid w:val="00FB4A52"/>
    <w:rsid w:val="528A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批注框文本 Char"/>
    <w:basedOn w:val="9"/>
    <w:link w:val="3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326</Words>
  <Characters>1861</Characters>
  <Lines>15</Lines>
  <Paragraphs>4</Paragraphs>
  <TotalTime>1</TotalTime>
  <ScaleCrop>false</ScaleCrop>
  <LinksUpToDate>false</LinksUpToDate>
  <CharactersWithSpaces>2183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2015-08-06T02:24:00Z</dcterms:created>
  <dc:creator>Kevin Xia</dc:creator>
  <cp:lastModifiedBy>☆芬芬经纪--张芬芬 13723708479☆</cp:lastModifiedBy>
  <cp:lastPrinted>2011-01-05T01:47:00Z</cp:lastPrinted>
  <dcterms:modified xsi:type="dcterms:W3CDTF">2022-09-05T02:57:03Z</dcterms:modified>
  <dc:title>策略销售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63F113133BC04820980F0A6BF82B8E62</vt:lpwstr>
  </property>
</Properties>
</file>