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1909"/>
        <w:tblW w:w="9076" w:type="dxa"/>
        <w:tblInd w:w="0" w:type="dxa"/>
        <w:tblBorders>
          <w:top w:val="single" w:color="000080" w:sz="12" w:space="0"/>
          <w:left w:val="single" w:color="000080" w:sz="12" w:space="0"/>
          <w:bottom w:val="single" w:color="000080" w:sz="12" w:space="0"/>
          <w:right w:val="single" w:color="000080" w:sz="12" w:space="0"/>
          <w:insideH w:val="single" w:color="000080" w:sz="6" w:space="0"/>
          <w:insideV w:val="single" w:color="00008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515"/>
        <w:gridCol w:w="2095"/>
        <w:gridCol w:w="870"/>
        <w:gridCol w:w="1320"/>
        <w:gridCol w:w="1260"/>
        <w:gridCol w:w="1588"/>
      </w:tblGrid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76" w:type="dxa"/>
            <w:gridSpan w:val="7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b/>
                <w:sz w:val="30"/>
                <w:szCs w:val="30"/>
                <w:lang w:val="en-US"/>
              </w:rPr>
            </w:pP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供电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服务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话术规范与沟通艺术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28" w:type="dxa"/>
            <w:tcBorders>
              <w:top w:val="single" w:color="000080" w:sz="6" w:space="0"/>
              <w:bottom w:val="single" w:color="000080" w:sz="6" w:space="0"/>
              <w:right w:val="single" w:color="00008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授课对象</w:t>
            </w:r>
          </w:p>
        </w:tc>
        <w:tc>
          <w:tcPr>
            <w:tcW w:w="2610" w:type="dxa"/>
            <w:gridSpan w:val="2"/>
            <w:tcBorders>
              <w:top w:val="single" w:color="000080" w:sz="6" w:space="0"/>
              <w:left w:val="single" w:color="000080" w:sz="4" w:space="0"/>
              <w:bottom w:val="single" w:color="000080" w:sz="6" w:space="0"/>
              <w:right w:val="single" w:color="00008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供电营业厅服务人员、电力现场服务人员</w:t>
            </w:r>
          </w:p>
        </w:tc>
        <w:tc>
          <w:tcPr>
            <w:tcW w:w="870" w:type="dxa"/>
            <w:tcBorders>
              <w:left w:val="single" w:color="000080" w:sz="12" w:space="0"/>
              <w:bottom w:val="single" w:color="000080" w:sz="6" w:space="0"/>
              <w:right w:val="single" w:color="00008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讲师</w:t>
            </w:r>
          </w:p>
        </w:tc>
        <w:tc>
          <w:tcPr>
            <w:tcW w:w="1320" w:type="dxa"/>
            <w:tcBorders>
              <w:left w:val="single" w:color="000080" w:sz="4" w:space="0"/>
              <w:bottom w:val="single" w:color="000080" w:sz="6" w:space="0"/>
              <w:right w:val="single" w:color="00008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秦保红</w:t>
            </w:r>
          </w:p>
        </w:tc>
        <w:tc>
          <w:tcPr>
            <w:tcW w:w="1260" w:type="dxa"/>
            <w:tcBorders>
              <w:top w:val="single" w:color="000080" w:sz="6" w:space="0"/>
              <w:left w:val="single" w:color="000080" w:sz="12" w:space="0"/>
              <w:bottom w:val="single" w:color="000080" w:sz="6" w:space="0"/>
              <w:right w:val="single" w:color="00008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课程时长</w:t>
            </w:r>
          </w:p>
        </w:tc>
        <w:tc>
          <w:tcPr>
            <w:tcW w:w="1588" w:type="dxa"/>
            <w:tcBorders>
              <w:top w:val="single" w:color="000080" w:sz="6" w:space="0"/>
              <w:left w:val="single" w:color="000080" w:sz="4" w:space="0"/>
              <w:bottom w:val="single" w:color="000080" w:sz="6" w:space="0"/>
            </w:tcBorders>
            <w:vAlign w:val="center"/>
          </w:tcPr>
          <w:p>
            <w:pPr>
              <w:spacing w:line="240" w:lineRule="auto"/>
              <w:ind w:firstLine="241" w:firstLineChars="100"/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sz w:val="24"/>
              </w:rPr>
              <w:t>天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76" w:type="dxa"/>
            <w:gridSpan w:val="7"/>
            <w:tcBorders>
              <w:top w:val="single" w:color="000080" w:sz="6" w:space="0"/>
              <w:bottom w:val="single" w:color="000080" w:sz="6" w:space="0"/>
            </w:tcBorders>
            <w:shd w:val="clear" w:color="auto" w:fill="C0C0C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课程大纲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943" w:type="dxa"/>
            <w:gridSpan w:val="2"/>
            <w:tcBorders>
              <w:top w:val="single" w:color="000080" w:sz="6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cs="宋体" w:eastAsiaTheme="minorEastAsia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/>
              </w:rPr>
              <w:t>单元</w:t>
            </w:r>
          </w:p>
        </w:tc>
        <w:tc>
          <w:tcPr>
            <w:tcW w:w="5545" w:type="dxa"/>
            <w:gridSpan w:val="4"/>
            <w:tcBorders>
              <w:top w:val="single" w:color="000080" w:sz="6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内容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/>
              </w:rPr>
              <w:t>提要</w:t>
            </w:r>
          </w:p>
        </w:tc>
        <w:tc>
          <w:tcPr>
            <w:tcW w:w="1588" w:type="dxa"/>
            <w:tcBorders>
              <w:top w:val="single" w:color="000080" w:sz="6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 w:eastAsiaTheme="minorEastAsia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授课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val="en-US" w:eastAsia="zh-CN"/>
              </w:rPr>
              <w:t>方式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</w:rPr>
              <w:t>一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宋体" w:hAnsi="宋体" w:cs="宋体" w:eastAsiaTheme="minorEastAsia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供电服务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沟通意识培养</w:t>
            </w:r>
          </w:p>
        </w:tc>
        <w:tc>
          <w:tcPr>
            <w:tcW w:w="55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leftChars="0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供电服务沟通中的角色定位和服务心态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720" w:firstLineChars="3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摆正位置、端正态度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720" w:firstLineChars="3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主动、周到、快乐、感恩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leftChars="0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有效沟通重塑客户体验的六个关键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787" w:firstLineChars="328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服务沟通案例启示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787" w:firstLineChars="328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客户价值案例启示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leftChars="0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践行“以客户为中心”的沟通原则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leftChars="0" w:firstLine="787" w:firstLineChars="328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接受对方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leftChars="0" w:firstLine="787" w:firstLineChars="328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重视对方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leftChars="0" w:firstLine="787" w:firstLineChars="328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赞美对方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leftChars="0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塑造供电服务沟通中的阳光心态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720" w:firstLineChars="300"/>
              <w:jc w:val="left"/>
              <w:textAlignment w:val="auto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别让情绪干扰了沟通氛围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辨别并控制自己和他人的情绪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电力服务因“情绪”导致投诉的案例面面观</w:t>
            </w:r>
          </w:p>
        </w:tc>
        <w:tc>
          <w:tcPr>
            <w:tcW w:w="1588" w:type="dxa"/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讲授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引导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案例分</w:t>
            </w:r>
            <w:r>
              <w:rPr>
                <w:rFonts w:hint="eastAsia" w:ascii="宋体" w:hAnsi="宋体" w:cs="宋体"/>
                <w:kern w:val="0"/>
                <w:sz w:val="24"/>
              </w:rPr>
              <w:t>析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8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二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供电服务岗位话术规范与表达训练</w:t>
            </w:r>
          </w:p>
        </w:tc>
        <w:tc>
          <w:tcPr>
            <w:tcW w:w="55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1.供电服务话术规范要求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720" w:firstLineChars="3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表达清晰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720" w:firstLineChars="3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不说忌语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720" w:firstLineChars="3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礼貌尊重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服务沟通忌语案例警示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2.规范服务语言表达技巧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——看、听、笑、说、动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jc w:val="left"/>
              <w:textAlignment w:val="auto"/>
              <w:rPr>
                <w:rFonts w:hint="default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3.供电服务话术规范与训练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95598及工单流转话术规范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电话预约话术规范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客户问题应答规范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装表接电话术规范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用电检查话术规范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抄表收费话术规范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抢修维护话术规范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窗口服务流程话术规范与强化训练</w:t>
            </w:r>
          </w:p>
        </w:tc>
        <w:tc>
          <w:tcPr>
            <w:tcW w:w="1588" w:type="dxa"/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启发讲授</w:t>
            </w:r>
          </w:p>
          <w:p>
            <w:pPr>
              <w:spacing w:line="240" w:lineRule="auto"/>
              <w:jc w:val="center"/>
              <w:outlineLvl w:val="0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问题探讨</w:t>
            </w:r>
          </w:p>
          <w:p>
            <w:pPr>
              <w:spacing w:line="240" w:lineRule="auto"/>
              <w:jc w:val="center"/>
              <w:outlineLvl w:val="0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案例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启迪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表达训练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cs="宋体" w:eastAsiaTheme="minorEastAsia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三</w:t>
            </w:r>
          </w:p>
          <w:p>
            <w:pPr>
              <w:widowControl/>
              <w:spacing w:line="240" w:lineRule="auto"/>
              <w:jc w:val="both"/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供电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营销</w:t>
            </w:r>
          </w:p>
          <w:p>
            <w:pPr>
              <w:widowControl/>
              <w:spacing w:line="240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中的沟通艺术</w:t>
            </w:r>
          </w:p>
        </w:tc>
        <w:tc>
          <w:tcPr>
            <w:tcW w:w="55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1.打开服务沟通之门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服务沟通常见障碍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沟通的途径和原则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沟通策略实施的时机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2.把控沟通节奏，运用沟通艺术给力服务营销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★ 得体致意——创造时机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★ 礼貌相识——首轮效应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★ 因人而异——识别推荐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★ 赞口常开——激发需求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★ 巧妙提问——利益引导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★ 善于倾听——关注境界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★ 高效应答——抛砖引玉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★ 同理说服——应对异议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62" w:beforeLines="20" w:after="62" w:afterLines="20"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★ 有效缔结——巩固成果</w:t>
            </w:r>
          </w:p>
        </w:tc>
        <w:tc>
          <w:tcPr>
            <w:tcW w:w="1588" w:type="dxa"/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对比讲解</w:t>
            </w:r>
          </w:p>
          <w:p>
            <w:pPr>
              <w:spacing w:line="240" w:lineRule="auto"/>
              <w:jc w:val="center"/>
              <w:outlineLvl w:val="0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视频赏析</w:t>
            </w:r>
          </w:p>
          <w:p>
            <w:pPr>
              <w:spacing w:line="240" w:lineRule="auto"/>
              <w:jc w:val="center"/>
              <w:outlineLvl w:val="0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小组研讨</w:t>
            </w:r>
          </w:p>
          <w:p>
            <w:pPr>
              <w:spacing w:line="240" w:lineRule="auto"/>
              <w:jc w:val="center"/>
              <w:outlineLvl w:val="0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案例分析</w:t>
            </w:r>
          </w:p>
          <w:p>
            <w:pPr>
              <w:spacing w:line="240" w:lineRule="auto"/>
              <w:jc w:val="center"/>
              <w:outlineLvl w:val="0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情景演练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四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学以致用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lang w:val="en-US" w:eastAsia="zh-CN"/>
              </w:rPr>
              <w:t>实践实战</w:t>
            </w:r>
          </w:p>
        </w:tc>
        <w:tc>
          <w:tcPr>
            <w:tcW w:w="5545" w:type="dxa"/>
            <w:gridSpan w:val="4"/>
            <w:vAlign w:val="center"/>
          </w:tcPr>
          <w:p>
            <w:pPr>
              <w:spacing w:line="240" w:lineRule="auto"/>
              <w:ind w:firstLine="241" w:firstLineChars="100"/>
              <w:jc w:val="both"/>
              <w:outlineLvl w:val="0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电力服务岗位实际沟通问题探究</w:t>
            </w:r>
          </w:p>
        </w:tc>
        <w:tc>
          <w:tcPr>
            <w:tcW w:w="1588" w:type="dxa"/>
            <w:vAlign w:val="center"/>
          </w:tcPr>
          <w:p>
            <w:pPr>
              <w:spacing w:line="240" w:lineRule="auto"/>
              <w:jc w:val="center"/>
              <w:outlineLvl w:val="0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情景模拟</w:t>
            </w:r>
          </w:p>
          <w:p>
            <w:pPr>
              <w:spacing w:line="240" w:lineRule="auto"/>
              <w:jc w:val="center"/>
              <w:outlineLvl w:val="0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实战演练</w:t>
            </w:r>
          </w:p>
        </w:tc>
      </w:tr>
    </w:tbl>
    <w:p>
      <w:pPr>
        <w:rPr>
          <w:rFonts w:ascii="宋体" w:hAnsi="宋体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E0FCFA"/>
    <w:multiLevelType w:val="singleLevel"/>
    <w:tmpl w:val="CDE0FC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4YjQ1YzFiMjFhNGNiNzI4NWEwZWJjNmRlYjUxOWYifQ=="/>
  </w:docVars>
  <w:rsids>
    <w:rsidRoot w:val="00000000"/>
    <w:rsid w:val="14017EB2"/>
    <w:rsid w:val="24FC05D2"/>
    <w:rsid w:val="2BD77BA2"/>
    <w:rsid w:val="2C684A13"/>
    <w:rsid w:val="35097BD1"/>
    <w:rsid w:val="371B4FE9"/>
    <w:rsid w:val="377377EA"/>
    <w:rsid w:val="3A3372C0"/>
    <w:rsid w:val="3AD41ED8"/>
    <w:rsid w:val="3C75075B"/>
    <w:rsid w:val="6FEA6405"/>
    <w:rsid w:val="70B959D2"/>
    <w:rsid w:val="719A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9p1"/>
    <w:qFormat/>
    <w:uiPriority w:val="0"/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629</Characters>
  <Lines>0</Lines>
  <Paragraphs>0</Paragraphs>
  <TotalTime>1</TotalTime>
  <ScaleCrop>false</ScaleCrop>
  <LinksUpToDate>false</LinksUpToDate>
  <CharactersWithSpaces>638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work</dc:creator>
  <cp:lastModifiedBy>谭艳15986792547</cp:lastModifiedBy>
  <dcterms:modified xsi:type="dcterms:W3CDTF">2022-06-07T14:04:56Z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ACE2EA4538744E7EAB3137A02278CAB3</vt:lpwstr>
  </property>
</Properties>
</file>