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1909"/>
        <w:tblW w:w="9076" w:type="dxa"/>
        <w:tblInd w:w="0" w:type="dxa"/>
        <w:tblBorders>
          <w:top w:val="single" w:color="000080" w:sz="12" w:space="0"/>
          <w:left w:val="single" w:color="000080" w:sz="12" w:space="0"/>
          <w:bottom w:val="single" w:color="000080" w:sz="12" w:space="0"/>
          <w:right w:val="single" w:color="000080" w:sz="12" w:space="0"/>
          <w:insideH w:val="single" w:color="000080" w:sz="6" w:space="0"/>
          <w:insideV w:val="single" w:color="00008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3"/>
        <w:gridCol w:w="330"/>
        <w:gridCol w:w="1615"/>
        <w:gridCol w:w="1050"/>
        <w:gridCol w:w="1620"/>
        <w:gridCol w:w="1410"/>
        <w:gridCol w:w="1438"/>
      </w:tblGrid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76" w:type="dxa"/>
            <w:gridSpan w:val="7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供电服务</w:t>
            </w:r>
            <w:r>
              <w:rPr>
                <w:rFonts w:hint="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礼仪</w:t>
            </w:r>
            <w:r>
              <w:rPr>
                <w:rFonts w:hint="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规范与待客技巧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13" w:type="dxa"/>
            <w:tcBorders>
              <w:top w:val="single" w:color="000080" w:sz="6" w:space="0"/>
              <w:bottom w:val="single" w:color="000080" w:sz="6" w:space="0"/>
              <w:right w:val="single" w:color="00008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对象</w:t>
            </w:r>
          </w:p>
        </w:tc>
        <w:tc>
          <w:tcPr>
            <w:tcW w:w="1945" w:type="dxa"/>
            <w:gridSpan w:val="2"/>
            <w:tcBorders>
              <w:top w:val="single" w:color="000080" w:sz="6" w:space="0"/>
              <w:left w:val="single" w:color="000080" w:sz="4" w:space="0"/>
              <w:bottom w:val="single" w:color="000080" w:sz="6" w:space="0"/>
              <w:right w:val="single" w:color="000080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供电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营业厅服务人员，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电力服务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现场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1050" w:type="dxa"/>
            <w:tcBorders>
              <w:left w:val="single" w:color="000080" w:sz="12" w:space="0"/>
              <w:bottom w:val="single" w:color="000080" w:sz="6" w:space="0"/>
              <w:right w:val="single" w:color="00008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讲师</w:t>
            </w:r>
          </w:p>
        </w:tc>
        <w:tc>
          <w:tcPr>
            <w:tcW w:w="1620" w:type="dxa"/>
            <w:tcBorders>
              <w:left w:val="single" w:color="000080" w:sz="4" w:space="0"/>
              <w:bottom w:val="single" w:color="000080" w:sz="6" w:space="0"/>
              <w:right w:val="single" w:color="000080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秦保红</w:t>
            </w:r>
          </w:p>
        </w:tc>
        <w:tc>
          <w:tcPr>
            <w:tcW w:w="1410" w:type="dxa"/>
            <w:tcBorders>
              <w:top w:val="single" w:color="000080" w:sz="6" w:space="0"/>
              <w:left w:val="single" w:color="000080" w:sz="12" w:space="0"/>
              <w:bottom w:val="single" w:color="000080" w:sz="6" w:space="0"/>
              <w:right w:val="single" w:color="00008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课程时长</w:t>
            </w:r>
          </w:p>
        </w:tc>
        <w:tc>
          <w:tcPr>
            <w:tcW w:w="1438" w:type="dxa"/>
            <w:tcBorders>
              <w:top w:val="single" w:color="000080" w:sz="6" w:space="0"/>
              <w:left w:val="single" w:color="000080" w:sz="4" w:space="0"/>
              <w:bottom w:val="single" w:color="000080" w:sz="6" w:space="0"/>
            </w:tcBorders>
            <w:vAlign w:val="center"/>
          </w:tcPr>
          <w:p>
            <w:pPr>
              <w:spacing w:line="360" w:lineRule="auto"/>
              <w:ind w:firstLine="482" w:firstLineChars="200"/>
              <w:jc w:val="left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76" w:type="dxa"/>
            <w:gridSpan w:val="7"/>
            <w:tcBorders>
              <w:top w:val="single" w:color="000080" w:sz="6" w:space="0"/>
              <w:bottom w:val="single" w:color="000080" w:sz="6" w:space="0"/>
            </w:tcBorders>
            <w:shd w:val="clear" w:color="auto" w:fill="C0C0C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tcBorders>
              <w:top w:val="single" w:color="00008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模块</w:t>
            </w:r>
          </w:p>
        </w:tc>
        <w:tc>
          <w:tcPr>
            <w:tcW w:w="5695" w:type="dxa"/>
            <w:gridSpan w:val="4"/>
            <w:tcBorders>
              <w:top w:val="single" w:color="00008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提要</w:t>
            </w:r>
          </w:p>
        </w:tc>
        <w:tc>
          <w:tcPr>
            <w:tcW w:w="1438" w:type="dxa"/>
            <w:tcBorders>
              <w:top w:val="single" w:color="00008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授课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模块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践行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服务礼仪</w:t>
            </w:r>
          </w:p>
          <w:p>
            <w:pPr>
              <w:widowControl/>
              <w:jc w:val="center"/>
              <w:rPr>
                <w:rFonts w:hint="default" w:ascii="宋体" w:hAnsi="宋体" w:cs="宋体" w:eastAsiaTheme="minorEastAsia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提高服务品质</w:t>
            </w:r>
          </w:p>
        </w:tc>
        <w:tc>
          <w:tcPr>
            <w:tcW w:w="5695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default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供电服务礼仪与电力服务品质的关系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default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供电服务待客的礼仪艺术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增强服务意识，践行服务礼仪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1、电力服务角色定位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2、服务意识与服务态度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3、服务待客必备素质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4、践行服务礼仪四大价值观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讲授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引导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案例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启迪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模块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  <w:p>
            <w:pPr>
              <w:jc w:val="center"/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电力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  <w:p>
            <w:pPr>
              <w:widowControl/>
              <w:ind w:firstLine="482" w:firstLineChars="200"/>
              <w:jc w:val="both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接待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礼节</w:t>
            </w:r>
          </w:p>
        </w:tc>
        <w:tc>
          <w:tcPr>
            <w:tcW w:w="5695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电力</w:t>
            </w: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一般客户的服务</w:t>
            </w: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接待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迎客礼节——表情、称呼、问候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相识礼节——介绍、握手、名片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引领礼节——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平路、楼梯、电梯、门口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待客礼节——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位次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、奉茶、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电力内部工作交流的讲解接待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领导检查指导接待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贵宾参观访问接待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讲授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引导</w:t>
            </w:r>
          </w:p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视频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观摩</w:t>
            </w:r>
          </w:p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情景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演示</w:t>
            </w:r>
          </w:p>
          <w:p>
            <w:pPr>
              <w:widowControl/>
              <w:ind w:firstLine="120" w:firstLineChars="5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案例分析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模块三</w:t>
            </w:r>
          </w:p>
          <w:p>
            <w:pPr>
              <w:widowControl/>
              <w:jc w:val="center"/>
              <w:rPr>
                <w:rFonts w:hint="default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服务工作准则</w:t>
            </w:r>
          </w:p>
          <w:p>
            <w:pPr>
              <w:widowControl/>
              <w:ind w:firstLine="241" w:firstLineChars="100"/>
              <w:jc w:val="both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礼仪交往技巧</w:t>
            </w:r>
          </w:p>
        </w:tc>
        <w:tc>
          <w:tcPr>
            <w:tcW w:w="5695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六大服务准则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首问责任制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全程引导制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一次告知制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限时办结制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全面体验制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营业厅两会三制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default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服务交往礼仪技巧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1、电话邀约礼仪技巧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2、拜访咨询、客户维护礼仪技巧</w:t>
            </w:r>
          </w:p>
          <w:p>
            <w:pPr>
              <w:numPr>
                <w:ilvl w:val="0"/>
                <w:numId w:val="0"/>
              </w:numPr>
              <w:jc w:val="left"/>
              <w:rPr>
                <w:rStyle w:val="7"/>
                <w:rFonts w:hint="default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3、上下级工作请示、汇报礼仪技巧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讲授引导</w:t>
            </w:r>
          </w:p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案例分析</w:t>
            </w:r>
          </w:p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小组研讨</w:t>
            </w:r>
          </w:p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礼仪训练</w:t>
            </w:r>
          </w:p>
          <w:p>
            <w:pPr>
              <w:widowControl/>
              <w:ind w:firstLine="240" w:firstLineChars="10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模块四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电力公司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服务形象</w:t>
            </w:r>
          </w:p>
          <w:p>
            <w:pPr>
              <w:widowControl/>
              <w:jc w:val="center"/>
              <w:rPr>
                <w:rFonts w:hint="default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礼仪规范</w:t>
            </w:r>
          </w:p>
        </w:tc>
        <w:tc>
          <w:tcPr>
            <w:tcW w:w="5695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首轮效应与电力公司品牌服务形象内涵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客户满意度中的可视性标准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default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电力服务形象礼仪文化价值（案例启迪）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电力服务形象礼仪规范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仪容仪表规范得体的基本要求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电力员工的面容、发型与修饰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电力员工的工装、配饰与穿着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仪态举止优雅大方的形体指导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电力员工的坐立行走、递拿让送、文明礼貌仪态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图片欣赏</w:t>
            </w:r>
          </w:p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示范指导</w:t>
            </w:r>
          </w:p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活动体验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模块五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供电营业厅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待客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礼仪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规范</w:t>
            </w:r>
          </w:p>
        </w:tc>
        <w:tc>
          <w:tcPr>
            <w:tcW w:w="5695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hint="eastAsia" w:ascii="黑体" w:hAnsi="黑体" w:eastAsia="黑体" w:cs="宋体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eastAsia" w:ascii="黑体" w:hAnsi="黑体" w:eastAsia="黑体" w:cs="宋体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营业厅接待服务时刻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规范内容：包括门口迎宾、柜台迎宾、厅内引导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规范要点：服务原则、接待行为和服务用语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门口迎宾场景礼仪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客户的分流与引导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引导客户使用自助查询机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引导客户使用排队叫号机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引导客户到柜台或休息区的礼仪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引导员的关爱服务规范与应答规范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门口送客行为规范与应答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hint="eastAsia" w:ascii="黑体" w:hAnsi="黑体" w:eastAsia="黑体" w:cs="宋体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黑体" w:hAnsi="黑体" w:eastAsia="黑体" w:cs="宋体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营业厅业务受理服务时刻：</w:t>
            </w:r>
          </w:p>
          <w:p>
            <w:pPr>
              <w:numPr>
                <w:ilvl w:val="0"/>
                <w:numId w:val="4"/>
              </w:numPr>
              <w:tabs>
                <w:tab w:val="left" w:pos="575"/>
              </w:tabs>
              <w:spacing w:line="276" w:lineRule="auto"/>
              <w:ind w:left="291" w:firstLine="0"/>
              <w:rPr>
                <w:rFonts w:hint="eastAsia" w:ascii="黑体" w:hAnsi="黑体" w:eastAsia="黑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受理内容：包括电力新装、电力变更等</w:t>
            </w:r>
          </w:p>
          <w:p>
            <w:pPr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pacing w:line="276" w:lineRule="auto"/>
              <w:ind w:left="291" w:firstLine="0"/>
              <w:rPr>
                <w:rFonts w:hint="eastAsia" w:ascii="黑体" w:hAnsi="黑体" w:eastAsia="黑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服务标准：包括服务行为规范和时限</w:t>
            </w:r>
          </w:p>
          <w:p>
            <w:pPr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pacing w:line="276" w:lineRule="auto"/>
              <w:ind w:left="291" w:firstLine="0"/>
              <w:rPr>
                <w:rFonts w:hint="eastAsia" w:ascii="黑体" w:hAnsi="黑体" w:eastAsia="黑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服务规范：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客户到柜台前的迎接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示坐礼仪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客户资料递接礼仪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客户咨询时应答礼仪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客户离开柜台欢送礼仪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暂停服务亮牌原则及规范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“接一顾二招呼三”服务原则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hint="eastAsia" w:ascii="黑体" w:hAnsi="黑体" w:eastAsia="黑体" w:cs="宋体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三、</w:t>
            </w:r>
            <w:r>
              <w:rPr>
                <w:rFonts w:hint="eastAsia" w:ascii="黑体" w:hAnsi="黑体" w:eastAsia="黑体" w:cs="宋体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营业厅收费服务时刻：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收费内容：电费、业务收费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服务标准：包括受理方法和行为规范</w:t>
            </w: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黑体" w:hAnsi="黑体" w:eastAsia="黑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收费服务规范及流程演练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客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户接待礼仪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核对客户信息礼仪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告知客户信息礼仪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唱收唱付礼仪</w:t>
            </w:r>
          </w:p>
          <w:p>
            <w:pPr>
              <w:widowControl w:val="0"/>
              <w:numPr>
                <w:ilvl w:val="0"/>
                <w:numId w:val="2"/>
              </w:numPr>
              <w:spacing w:line="276" w:lineRule="auto"/>
              <w:rPr>
                <w:rStyle w:val="7"/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双手递接礼仪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案例分析</w:t>
            </w:r>
          </w:p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视频学习</w:t>
            </w:r>
          </w:p>
          <w:p>
            <w:pPr>
              <w:spacing w:line="360" w:lineRule="auto"/>
              <w:jc w:val="center"/>
              <w:outlineLvl w:val="0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案例研讨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情景模拟</w:t>
            </w:r>
          </w:p>
        </w:tc>
      </w:tr>
      <w:tr>
        <w:tblPrEx>
          <w:tblBorders>
            <w:top w:val="single" w:color="000080" w:sz="12" w:space="0"/>
            <w:left w:val="single" w:color="000080" w:sz="12" w:space="0"/>
            <w:bottom w:val="single" w:color="000080" w:sz="12" w:space="0"/>
            <w:right w:val="single" w:color="000080" w:sz="12" w:space="0"/>
            <w:insideH w:val="single" w:color="000080" w:sz="6" w:space="0"/>
            <w:insideV w:val="single" w:color="00008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43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模块六</w:t>
            </w:r>
          </w:p>
          <w:p>
            <w:pPr>
              <w:widowControl/>
              <w:jc w:val="center"/>
              <w:rPr>
                <w:rFonts w:hint="default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营业厅服务待客礼仪规范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情景训练</w:t>
            </w:r>
          </w:p>
        </w:tc>
        <w:tc>
          <w:tcPr>
            <w:tcW w:w="5695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hint="eastAsia" w:ascii="黑体" w:hAnsi="黑体" w:eastAsia="黑体" w:cs="宋体"/>
                <w:b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业务流程七步曲与七部法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1、柜台服务流程中的礼仪规范与待客技巧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——迎—问—接—销—办—递—送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2、大堂岗位服务中的礼仪规范与待客技巧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——迎—分—跟—陪—缓—辅—送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情景演练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模拟展示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通关考核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ヒラギノ角ゴ Pro W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A368B9"/>
    <w:multiLevelType w:val="singleLevel"/>
    <w:tmpl w:val="00A368B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3C43E07"/>
    <w:multiLevelType w:val="multilevel"/>
    <w:tmpl w:val="23C43E0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  <w:color w:val="006666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2">
    <w:nsid w:val="674A3CC2"/>
    <w:multiLevelType w:val="multilevel"/>
    <w:tmpl w:val="674A3CC2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firstLine="0"/>
      </w:pPr>
      <w:rPr>
        <w:rFonts w:hint="default" w:ascii="Wingdings" w:hAnsi="Wingdings"/>
        <w:color w:val="006666"/>
        <w:position w:val="0"/>
        <w:sz w:val="16"/>
      </w:rPr>
    </w:lvl>
    <w:lvl w:ilvl="1" w:tentative="0">
      <w:start w:val="1"/>
      <w:numFmt w:val="bullet"/>
      <w:lvlText w:val=""/>
      <w:lvlJc w:val="left"/>
      <w:pPr>
        <w:tabs>
          <w:tab w:val="left" w:pos="420"/>
        </w:tabs>
        <w:ind w:left="420" w:firstLine="42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2" w:tentative="0">
      <w:start w:val="1"/>
      <w:numFmt w:val="bullet"/>
      <w:lvlText w:val=""/>
      <w:lvlJc w:val="left"/>
      <w:pPr>
        <w:tabs>
          <w:tab w:val="left" w:pos="420"/>
        </w:tabs>
        <w:ind w:left="420" w:firstLine="84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3" w:tentative="0">
      <w:start w:val="1"/>
      <w:numFmt w:val="bullet"/>
      <w:lvlText w:val=""/>
      <w:lvlJc w:val="left"/>
      <w:pPr>
        <w:tabs>
          <w:tab w:val="left" w:pos="420"/>
        </w:tabs>
        <w:ind w:left="420" w:firstLine="126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4" w:tentative="0">
      <w:start w:val="1"/>
      <w:numFmt w:val="bullet"/>
      <w:lvlText w:val=""/>
      <w:lvlJc w:val="left"/>
      <w:pPr>
        <w:tabs>
          <w:tab w:val="left" w:pos="420"/>
        </w:tabs>
        <w:ind w:left="420" w:firstLine="168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5" w:tentative="0">
      <w:start w:val="1"/>
      <w:numFmt w:val="bullet"/>
      <w:lvlText w:val=""/>
      <w:lvlJc w:val="left"/>
      <w:pPr>
        <w:tabs>
          <w:tab w:val="left" w:pos="420"/>
        </w:tabs>
        <w:ind w:left="420" w:firstLine="210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6" w:tentative="0">
      <w:start w:val="1"/>
      <w:numFmt w:val="bullet"/>
      <w:lvlText w:val=""/>
      <w:lvlJc w:val="left"/>
      <w:pPr>
        <w:tabs>
          <w:tab w:val="left" w:pos="420"/>
        </w:tabs>
        <w:ind w:left="420" w:firstLine="252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7" w:tentative="0">
      <w:start w:val="1"/>
      <w:numFmt w:val="bullet"/>
      <w:lvlText w:val=""/>
      <w:lvlJc w:val="left"/>
      <w:pPr>
        <w:tabs>
          <w:tab w:val="left" w:pos="420"/>
        </w:tabs>
        <w:ind w:left="420" w:firstLine="2940"/>
      </w:pPr>
      <w:rPr>
        <w:rFonts w:hint="default" w:ascii="Wingdings" w:hAnsi="Wingdings" w:eastAsia="ヒラギノ角ゴ Pro W3"/>
        <w:color w:val="000000"/>
        <w:position w:val="0"/>
        <w:sz w:val="16"/>
      </w:rPr>
    </w:lvl>
    <w:lvl w:ilvl="8" w:tentative="0">
      <w:start w:val="1"/>
      <w:numFmt w:val="bullet"/>
      <w:lvlText w:val=""/>
      <w:lvlJc w:val="left"/>
      <w:pPr>
        <w:tabs>
          <w:tab w:val="left" w:pos="420"/>
        </w:tabs>
        <w:ind w:left="420" w:firstLine="3360"/>
      </w:pPr>
      <w:rPr>
        <w:rFonts w:hint="default" w:ascii="Wingdings" w:hAnsi="Wingdings" w:eastAsia="ヒラギノ角ゴ Pro W3"/>
        <w:color w:val="000000"/>
        <w:position w:val="0"/>
        <w:sz w:val="16"/>
      </w:rPr>
    </w:lvl>
  </w:abstractNum>
  <w:abstractNum w:abstractNumId="3">
    <w:nsid w:val="78CF6242"/>
    <w:multiLevelType w:val="multilevel"/>
    <w:tmpl w:val="78CF624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4YjQ1YzFiMjFhNGNiNzI4NWEwZWJjNmRlYjUxOWYifQ=="/>
  </w:docVars>
  <w:rsids>
    <w:rsidRoot w:val="00000000"/>
    <w:rsid w:val="07B27E72"/>
    <w:rsid w:val="103D51DC"/>
    <w:rsid w:val="12C37166"/>
    <w:rsid w:val="1EC20273"/>
    <w:rsid w:val="20B61010"/>
    <w:rsid w:val="22AF4B0C"/>
    <w:rsid w:val="2BD77BA2"/>
    <w:rsid w:val="2C164707"/>
    <w:rsid w:val="30375566"/>
    <w:rsid w:val="30847B69"/>
    <w:rsid w:val="37300480"/>
    <w:rsid w:val="39425355"/>
    <w:rsid w:val="3CF45DA1"/>
    <w:rsid w:val="3EF4145A"/>
    <w:rsid w:val="40CD1B20"/>
    <w:rsid w:val="47053D08"/>
    <w:rsid w:val="4F9D2BCD"/>
    <w:rsid w:val="50102850"/>
    <w:rsid w:val="510E25C9"/>
    <w:rsid w:val="53C16235"/>
    <w:rsid w:val="56B83F53"/>
    <w:rsid w:val="56BC4FD3"/>
    <w:rsid w:val="59C6491D"/>
    <w:rsid w:val="5A5D6E11"/>
    <w:rsid w:val="5E693F2F"/>
    <w:rsid w:val="6013665C"/>
    <w:rsid w:val="6735471C"/>
    <w:rsid w:val="67FA6527"/>
    <w:rsid w:val="70B959D2"/>
    <w:rsid w:val="72D40B9F"/>
    <w:rsid w:val="72E01E10"/>
    <w:rsid w:val="74B4111C"/>
    <w:rsid w:val="77D541DF"/>
    <w:rsid w:val="7BA6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9p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1050</Words>
  <Characters>1050</Characters>
  <Lines>0</Lines>
  <Paragraphs>0</Paragraphs>
  <TotalTime>3</TotalTime>
  <ScaleCrop>false</ScaleCrop>
  <LinksUpToDate>false</LinksUpToDate>
  <CharactersWithSpaces>1051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work</dc:creator>
  <cp:lastModifiedBy>谭艳15986792547</cp:lastModifiedBy>
  <dcterms:modified xsi:type="dcterms:W3CDTF">2022-06-07T14:04:54Z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755FB4A24D9B4556A6CC38A15F9BA05D</vt:lpwstr>
  </property>
</Properties>
</file>