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cs="微软雅黑"/>
          <w:b/>
          <w:bCs/>
          <w:color w:val="4874CB" w:themeColor="accent1"/>
          <w:sz w:val="32"/>
          <w:szCs w:val="40"/>
          <w:lang w:val="en-US" w:eastAsia="zh-CN"/>
          <w14:textFill>
            <w14:solidFill>
              <w14:schemeClr w14:val="accent1"/>
            </w14:solidFill>
          </w14:textFill>
        </w:rPr>
      </w:pPr>
      <w:r>
        <w:rPr>
          <w:rFonts w:hint="eastAsia" w:cs="微软雅黑"/>
          <w:b/>
          <w:bCs/>
          <w:color w:val="4874CB" w:themeColor="accent1"/>
          <w:sz w:val="32"/>
          <w:szCs w:val="40"/>
          <w:lang w:val="en-US" w:eastAsia="zh-CN"/>
          <w14:textFill>
            <w14:solidFill>
              <w14:schemeClr w14:val="accent1"/>
            </w14:solidFill>
          </w14:textFill>
        </w:rPr>
        <w:t>银</w:t>
      </w:r>
      <w:bookmarkStart w:id="0" w:name="_GoBack"/>
      <w:r>
        <w:rPr>
          <w:rFonts w:hint="eastAsia" w:cs="微软雅黑"/>
          <w:b/>
          <w:bCs/>
          <w:color w:val="4874CB" w:themeColor="accent1"/>
          <w:sz w:val="32"/>
          <w:szCs w:val="40"/>
          <w:lang w:val="en-US" w:eastAsia="zh-CN"/>
          <w14:textFill>
            <w14:solidFill>
              <w14:schemeClr w14:val="accent1"/>
            </w14:solidFill>
          </w14:textFill>
        </w:rPr>
        <w:t>行数字化及AI大模型在金融系统的应用</w:t>
      </w:r>
    </w:p>
    <w:bookmarkEnd w:id="0"/>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color w:val="4874CB" w:themeColor="accent1"/>
          <w:lang w:eastAsia="zh-CN"/>
          <w14:textFill>
            <w14:solidFill>
              <w14:schemeClr w14:val="accent1"/>
            </w14:solidFill>
          </w14:textFill>
        </w:rPr>
      </w:pPr>
      <w:r>
        <w:rPr>
          <w:rFonts w:hint="eastAsia" w:cs="微软雅黑"/>
          <w:b/>
          <w:bCs/>
          <w:color w:val="4874CB" w:themeColor="accent1"/>
          <w:lang w:eastAsia="zh-CN"/>
          <w14:textFill>
            <w14:solidFill>
              <w14:schemeClr w14:val="accent1"/>
            </w14:solidFill>
          </w14:textFill>
        </w:rPr>
        <w:t>【</w:t>
      </w:r>
      <w:r>
        <w:rPr>
          <w:rFonts w:hint="eastAsia" w:ascii="微软雅黑" w:hAnsi="微软雅黑" w:eastAsia="微软雅黑" w:cs="微软雅黑"/>
          <w:b/>
          <w:bCs/>
          <w:color w:val="4874CB" w:themeColor="accent1"/>
          <w14:textFill>
            <w14:solidFill>
              <w14:schemeClr w14:val="accent1"/>
            </w14:solidFill>
          </w14:textFill>
        </w:rPr>
        <w:t>课程背景</w:t>
      </w:r>
      <w:r>
        <w:rPr>
          <w:rFonts w:hint="eastAsia" w:cs="微软雅黑"/>
          <w:b/>
          <w:bCs/>
          <w:color w:val="4874CB" w:themeColor="accent1"/>
          <w:lang w:eastAsia="zh-CN"/>
          <w14:textFill>
            <w14:solidFill>
              <w14:schemeClr w14:val="accent1"/>
            </w14:solidFill>
          </w14:textFill>
        </w:rPr>
        <w:t>】</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rPr>
      </w:pPr>
      <w:r>
        <w:rPr>
          <w:rFonts w:hint="eastAsia" w:ascii="微软雅黑" w:hAnsi="微软雅黑" w:eastAsia="微软雅黑" w:cs="微软雅黑"/>
        </w:rPr>
        <w:t>随着金融科技的迅速进步，银行数字化转型已成必然趋势，要求金融机构尤其是邮政运营数据中心的管理层深刻理解这一转变的核心要素，并有效利用AI大模型驱动业务创新与效率提升。本课程专为邮政运营数据中心处级管理人员设计，旨在深入解析银行数字化转型的关键领域，探讨AI大模型在金融行业的实际应用，并通过实例讲解如何成功将AI大模型融入业务流程，推动业务落地与效能升级。</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cs="微软雅黑"/>
          <w:b/>
          <w:bCs/>
          <w:color w:val="4874CB" w:themeColor="accent1"/>
          <w:lang w:eastAsia="zh-CN"/>
          <w14:textFill>
            <w14:solidFill>
              <w14:schemeClr w14:val="accent1"/>
            </w14:solidFill>
          </w14:textFill>
        </w:rPr>
      </w:pPr>
      <w:r>
        <w:rPr>
          <w:rFonts w:hint="eastAsia" w:cs="微软雅黑"/>
          <w:b/>
          <w:bCs/>
          <w:color w:val="4874CB" w:themeColor="accent1"/>
          <w:lang w:eastAsia="zh-CN"/>
          <w14:textFill>
            <w14:solidFill>
              <w14:schemeClr w14:val="accent1"/>
            </w14:solidFill>
          </w14:textFill>
        </w:rPr>
        <w:t>【课程收获】</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rPr>
      </w:pPr>
      <w:r>
        <w:rPr>
          <w:rFonts w:hint="eastAsia" w:ascii="微软雅黑" w:hAnsi="微软雅黑" w:eastAsia="微软雅黑" w:cs="微软雅黑"/>
        </w:rPr>
        <w:t>- 深入理解银行数字化转型的关键领域及金融科技的革新影响。</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rPr>
      </w:pPr>
      <w:r>
        <w:rPr>
          <w:rFonts w:hint="eastAsia" w:ascii="微软雅黑" w:hAnsi="微软雅黑" w:eastAsia="微软雅黑" w:cs="微软雅黑"/>
        </w:rPr>
        <w:t>- 精准把握AI大模型在金融业的前沿应用与发展趋势。</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rPr>
      </w:pPr>
      <w:r>
        <w:rPr>
          <w:rFonts w:hint="eastAsia" w:ascii="微软雅黑" w:hAnsi="微软雅黑" w:eastAsia="微软雅黑" w:cs="微软雅黑"/>
        </w:rPr>
        <w:t>- 实战学习如何运用AI大模型促进银行业务的具体实施与成效。</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rPr>
      </w:pPr>
      <w:r>
        <w:rPr>
          <w:rFonts w:hint="eastAsia" w:cs="微软雅黑"/>
          <w:b/>
          <w:bCs/>
          <w:color w:val="4874CB" w:themeColor="accent1"/>
          <w:lang w:eastAsia="zh-CN"/>
          <w14:textFill>
            <w14:solidFill>
              <w14:schemeClr w14:val="accent1"/>
            </w14:solidFill>
          </w14:textFill>
        </w:rPr>
        <w:t>【</w:t>
      </w:r>
      <w:r>
        <w:rPr>
          <w:rFonts w:hint="eastAsia" w:ascii="微软雅黑" w:hAnsi="微软雅黑" w:eastAsia="微软雅黑" w:cs="微软雅黑"/>
          <w:b/>
          <w:bCs/>
          <w:color w:val="4874CB" w:themeColor="accent1"/>
          <w14:textFill>
            <w14:solidFill>
              <w14:schemeClr w14:val="accent1"/>
            </w14:solidFill>
          </w14:textFill>
        </w:rPr>
        <w:t>课程对象</w:t>
      </w:r>
      <w:r>
        <w:rPr>
          <w:rFonts w:hint="eastAsia" w:cs="微软雅黑"/>
          <w:b/>
          <w:bCs/>
          <w:color w:val="4874CB" w:themeColor="accent1"/>
          <w:lang w:eastAsia="zh-CN"/>
          <w14:textFill>
            <w14:solidFill>
              <w14:schemeClr w14:val="accent1"/>
            </w14:solidFill>
          </w14:textFill>
        </w:rPr>
        <w:t>】</w:t>
      </w:r>
      <w:r>
        <w:rPr>
          <w:rFonts w:hint="eastAsia" w:ascii="微软雅黑" w:hAnsi="微软雅黑" w:eastAsia="微软雅黑" w:cs="微软雅黑"/>
        </w:rPr>
        <w:t>邮政运营数据中心处级管理人员</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rPr>
      </w:pPr>
      <w:r>
        <w:rPr>
          <w:rFonts w:hint="eastAsia" w:cs="微软雅黑"/>
          <w:b/>
          <w:bCs/>
          <w:color w:val="4874CB" w:themeColor="accent1"/>
          <w:lang w:eastAsia="zh-CN"/>
          <w14:textFill>
            <w14:solidFill>
              <w14:schemeClr w14:val="accent1"/>
            </w14:solidFill>
          </w14:textFill>
        </w:rPr>
        <w:t>【</w:t>
      </w:r>
      <w:r>
        <w:rPr>
          <w:rFonts w:hint="eastAsia" w:ascii="微软雅黑" w:hAnsi="微软雅黑" w:eastAsia="微软雅黑" w:cs="微软雅黑"/>
          <w:b/>
          <w:bCs/>
          <w:color w:val="4874CB" w:themeColor="accent1"/>
          <w14:textFill>
            <w14:solidFill>
              <w14:schemeClr w14:val="accent1"/>
            </w14:solidFill>
          </w14:textFill>
        </w:rPr>
        <w:t>课程时长</w:t>
      </w:r>
      <w:r>
        <w:rPr>
          <w:rFonts w:hint="eastAsia" w:cs="微软雅黑"/>
          <w:b/>
          <w:bCs/>
          <w:color w:val="4874CB" w:themeColor="accent1"/>
          <w:lang w:eastAsia="zh-CN"/>
          <w14:textFill>
            <w14:solidFill>
              <w14:schemeClr w14:val="accent1"/>
            </w14:solidFill>
          </w14:textFill>
        </w:rPr>
        <w:t>】</w:t>
      </w:r>
      <w:r>
        <w:rPr>
          <w:rFonts w:hint="eastAsia" w:ascii="微软雅黑" w:hAnsi="微软雅黑" w:eastAsia="微软雅黑" w:cs="微软雅黑"/>
        </w:rPr>
        <w:t>0.5天</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color w:val="4874CB" w:themeColor="accent1"/>
          <w:lang w:eastAsia="zh-CN"/>
          <w14:textFill>
            <w14:solidFill>
              <w14:schemeClr w14:val="accent1"/>
            </w14:solidFill>
          </w14:textFill>
        </w:rPr>
      </w:pPr>
      <w:r>
        <w:rPr>
          <w:rFonts w:hint="eastAsia" w:cs="微软雅黑"/>
          <w:b/>
          <w:bCs/>
          <w:color w:val="4874CB" w:themeColor="accent1"/>
          <w:lang w:eastAsia="zh-CN"/>
          <w14:textFill>
            <w14:solidFill>
              <w14:schemeClr w14:val="accent1"/>
            </w14:solidFill>
          </w14:textFill>
        </w:rPr>
        <w:t>【</w:t>
      </w:r>
      <w:r>
        <w:rPr>
          <w:rFonts w:hint="eastAsia" w:ascii="微软雅黑" w:hAnsi="微软雅黑" w:eastAsia="微软雅黑" w:cs="微软雅黑"/>
          <w:b/>
          <w:bCs/>
          <w:color w:val="4874CB" w:themeColor="accent1"/>
          <w14:textFill>
            <w14:solidFill>
              <w14:schemeClr w14:val="accent1"/>
            </w14:solidFill>
          </w14:textFill>
        </w:rPr>
        <w:t>课程大纲</w:t>
      </w:r>
      <w:r>
        <w:rPr>
          <w:rFonts w:hint="eastAsia" w:cs="微软雅黑"/>
          <w:b/>
          <w:bCs/>
          <w:color w:val="4874CB" w:themeColor="accent1"/>
          <w:lang w:eastAsia="zh-CN"/>
          <w14:textFill>
            <w14:solidFill>
              <w14:schemeClr w14:val="accent1"/>
            </w14:solidFill>
          </w14:textFill>
        </w:rPr>
        <w:t>】</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color w:val="4874CB" w:themeColor="accent1"/>
          <w14:textFill>
            <w14:solidFill>
              <w14:schemeClr w14:val="accent1"/>
            </w14:solidFill>
          </w14:textFill>
        </w:rPr>
      </w:pPr>
      <w:r>
        <w:rPr>
          <w:rFonts w:hint="eastAsia" w:ascii="微软雅黑" w:hAnsi="微软雅黑" w:eastAsia="微软雅黑" w:cs="微软雅黑"/>
          <w:b/>
          <w:bCs/>
          <w:color w:val="4874CB" w:themeColor="accent1"/>
          <w14:textFill>
            <w14:solidFill>
              <w14:schemeClr w14:val="accent1"/>
            </w14:solidFill>
          </w14:textFill>
        </w:rPr>
        <w:t xml:space="preserve"> 一、银行数字化转型核心领域</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lang w:eastAsia="zh-CN"/>
        </w:rPr>
      </w:pPr>
      <w:r>
        <w:rPr>
          <w:rFonts w:hint="eastAsia" w:cs="微软雅黑"/>
          <w:b/>
          <w:bCs/>
          <w:lang w:val="en-US" w:eastAsia="zh-CN"/>
        </w:rPr>
        <w:t>1.</w:t>
      </w:r>
      <w:r>
        <w:rPr>
          <w:rFonts w:hint="eastAsia" w:ascii="微软雅黑" w:hAnsi="微软雅黑" w:eastAsia="微软雅黑" w:cs="微软雅黑"/>
          <w:b/>
          <w:bCs/>
        </w:rPr>
        <w:t>银行数字化转型的关键领域</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产品创新：智能投顾实例（如招商银行摩羯智投）、数字货币探索（如中国央行数字货币DC/EP）。</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营销数智化：基于大数据与AI的精准营销案例分析（招商银行信用卡个性化推荐系统）。</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客户运营：数字技术优化服务体验案例（工商银行智能客服“工小智”）。</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风险控制：AI风险评估与预警实战（浦发银行智能风控系统）。</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lang w:eastAsia="zh-CN"/>
        </w:rPr>
      </w:pPr>
      <w:r>
        <w:rPr>
          <w:rFonts w:hint="eastAsia" w:cs="微软雅黑"/>
          <w:b/>
          <w:bCs/>
          <w:lang w:val="en-US" w:eastAsia="zh-CN"/>
        </w:rPr>
        <w:t>2.</w:t>
      </w:r>
      <w:r>
        <w:rPr>
          <w:rFonts w:hint="eastAsia" w:ascii="微软雅黑" w:hAnsi="微软雅黑" w:eastAsia="微软雅黑" w:cs="微软雅黑"/>
          <w:b/>
          <w:bCs/>
        </w:rPr>
        <w:t>银行数字化技术特点与策略</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 xml:space="preserve"> 信息化基础：云计算、大数据等关键技术介绍。</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 xml:space="preserve"> 数字化转型步骤：从数据整合到业务流程重塑。</w:t>
      </w:r>
    </w:p>
    <w:p>
      <w:pPr>
        <w:keepNext w:val="0"/>
        <w:keepLines w:val="0"/>
        <w:pageBreakBefore w:val="0"/>
        <w:widowControl w:val="0"/>
        <w:numPr>
          <w:ilvl w:val="0"/>
          <w:numId w:val="1"/>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 xml:space="preserve"> 智能化服务管理：AI驱动的个性化服务与自动化管理案例分享。</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lang w:eastAsia="zh-CN"/>
        </w:rPr>
      </w:pPr>
      <w:r>
        <w:rPr>
          <w:rFonts w:hint="eastAsia" w:ascii="微软雅黑" w:hAnsi="微软雅黑" w:eastAsia="微软雅黑" w:cs="微软雅黑"/>
          <w:b/>
          <w:bCs/>
        </w:rPr>
        <w:t>AI大模型对银行数字化的影响</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 xml:space="preserve"> 应用场景分析：智能客服、反欺诈系统的优势案例。</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color w:val="4874CB" w:themeColor="accent1"/>
          <w14:textFill>
            <w14:solidFill>
              <w14:schemeClr w14:val="accent1"/>
            </w14:solidFill>
          </w14:textFill>
        </w:rPr>
      </w:pPr>
      <w:r>
        <w:rPr>
          <w:rFonts w:hint="eastAsia" w:ascii="微软雅黑" w:hAnsi="微软雅黑" w:eastAsia="微软雅黑" w:cs="微软雅黑"/>
        </w:rPr>
        <w:t xml:space="preserve"> </w:t>
      </w:r>
      <w:r>
        <w:rPr>
          <w:rFonts w:hint="eastAsia" w:ascii="微软雅黑" w:hAnsi="微软雅黑" w:eastAsia="微软雅黑" w:cs="微软雅黑"/>
          <w:b/>
          <w:bCs/>
          <w:color w:val="4874CB" w:themeColor="accent1"/>
          <w14:textFill>
            <w14:solidFill>
              <w14:schemeClr w14:val="accent1"/>
            </w14:solidFill>
          </w14:textFill>
        </w:rPr>
        <w:t xml:space="preserve"> 二、AI大模型在金融领域的应用与发展</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rPr>
      </w:pPr>
      <w:r>
        <w:rPr>
          <w:rFonts w:hint="eastAsia" w:cs="微软雅黑"/>
          <w:b/>
          <w:bCs/>
          <w:lang w:val="en-US" w:eastAsia="zh-CN"/>
        </w:rPr>
        <w:t>1.</w:t>
      </w:r>
      <w:r>
        <w:rPr>
          <w:rFonts w:hint="eastAsia" w:ascii="微软雅黑" w:hAnsi="微软雅黑" w:eastAsia="微软雅黑" w:cs="微软雅黑"/>
          <w:b/>
          <w:bCs/>
        </w:rPr>
        <w:t>AI大模型发展趋势与行业应用</w:t>
      </w:r>
    </w:p>
    <w:p>
      <w:pPr>
        <w:keepNext w:val="0"/>
        <w:keepLines w:val="0"/>
        <w:pageBreakBefore w:val="0"/>
        <w:widowControl w:val="0"/>
        <w:numPr>
          <w:ilvl w:val="0"/>
          <w:numId w:val="4"/>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发展历程、未来展望及跨行业应用</w:t>
      </w:r>
    </w:p>
    <w:p>
      <w:pPr>
        <w:keepNext w:val="0"/>
        <w:keepLines w:val="0"/>
        <w:pageBreakBefore w:val="0"/>
        <w:widowControl w:val="0"/>
        <w:numPr>
          <w:ilvl w:val="0"/>
          <w:numId w:val="5"/>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rPr>
      </w:pPr>
      <w:r>
        <w:rPr>
          <w:rFonts w:hint="eastAsia" w:ascii="微软雅黑" w:hAnsi="微软雅黑" w:eastAsia="微软雅黑" w:cs="微软雅黑"/>
          <w:b/>
          <w:bCs/>
        </w:rPr>
        <w:t>金融业大模型概览</w:t>
      </w:r>
    </w:p>
    <w:p>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智能投顾系统（蚂蚁金服“帮你投”）</w:t>
      </w:r>
    </w:p>
    <w:p>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信用评估模型（微众银行“微业贷”）</w:t>
      </w:r>
    </w:p>
    <w:p>
      <w:pPr>
        <w:keepNext w:val="0"/>
        <w:keepLines w:val="0"/>
        <w:pageBreakBefore w:val="0"/>
        <w:widowControl w:val="0"/>
        <w:numPr>
          <w:ilvl w:val="0"/>
          <w:numId w:val="6"/>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技术特点与业务价值分析</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color w:val="4874CB" w:themeColor="accent1"/>
          <w14:textFill>
            <w14:solidFill>
              <w14:schemeClr w14:val="accent1"/>
            </w14:solidFill>
          </w14:textFill>
        </w:rPr>
      </w:pPr>
      <w:r>
        <w:rPr>
          <w:rFonts w:hint="eastAsia" w:ascii="微软雅黑" w:hAnsi="微软雅黑" w:eastAsia="微软雅黑" w:cs="微软雅黑"/>
          <w:b/>
          <w:bCs/>
          <w:color w:val="4874CB" w:themeColor="accent1"/>
          <w14:textFill>
            <w14:solidFill>
              <w14:schemeClr w14:val="accent1"/>
            </w14:solidFill>
          </w14:textFill>
        </w:rPr>
        <w:t xml:space="preserve"> 三、银行业AI大模型的业务落地实践</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lang w:eastAsia="zh-CN"/>
        </w:rPr>
      </w:pPr>
      <w:r>
        <w:rPr>
          <w:rFonts w:hint="eastAsia" w:ascii="微软雅黑" w:hAnsi="微软雅黑" w:eastAsia="微软雅黑" w:cs="微软雅黑"/>
          <w:b/>
          <w:bCs/>
        </w:rPr>
        <w:t xml:space="preserve"> 1. 国内大模型工具的选择与应用</w:t>
      </w:r>
      <w:r>
        <w:rPr>
          <w:rFonts w:hint="eastAsia" w:cs="微软雅黑"/>
          <w:b/>
          <w:bCs/>
          <w:lang w:eastAsia="zh-CN"/>
        </w:rPr>
        <w:t>：</w:t>
      </w:r>
      <w:r>
        <w:rPr>
          <w:rFonts w:hint="eastAsia" w:ascii="微软雅黑" w:hAnsi="微软雅黑" w:eastAsia="微软雅黑" w:cs="微软雅黑"/>
        </w:rPr>
        <w:t>常用大模型工具与平台</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推荐使用：百度文心、阿里云CoCo，以及华为ModelArts等国内主流AI开发平台。</w:t>
      </w:r>
    </w:p>
    <w:p>
      <w:pPr>
        <w:keepNext w:val="0"/>
        <w:keepLines w:val="0"/>
        <w:pageBreakBefore w:val="0"/>
        <w:widowControl w:val="0"/>
        <w:numPr>
          <w:ilvl w:val="0"/>
          <w:numId w:val="7"/>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案例支撑：通过百度文心在智能文档审阅中的应用，展示其在提高工作效率方面的价值。</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rPr>
      </w:pPr>
      <w:r>
        <w:rPr>
          <w:rFonts w:hint="eastAsia" w:ascii="微软雅黑" w:hAnsi="微软雅黑" w:eastAsia="微软雅黑" w:cs="微软雅黑"/>
          <w:b/>
          <w:bCs/>
        </w:rPr>
        <w:t xml:space="preserve"> 2. AI Agent的部署与实战</w:t>
      </w:r>
    </w:p>
    <w:p>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代表应用：腾讯云小微智能客服在银行客户服务中的部署，提升用户满意度与响应速度。</w:t>
      </w:r>
    </w:p>
    <w:p>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清言智能体：在在线贷款咨询中的自动化处理，减少人力成本同时保持服务质量。</w:t>
      </w:r>
    </w:p>
    <w:p>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cs="微软雅黑"/>
          <w:lang w:val="en-US" w:eastAsia="zh-CN"/>
        </w:rPr>
        <w:t>Coze、文心智能体、智谱清言智能体</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lang w:eastAsia="zh-CN"/>
        </w:rPr>
      </w:pPr>
      <w:r>
        <w:rPr>
          <w:rFonts w:hint="eastAsia" w:ascii="微软雅黑" w:hAnsi="微软雅黑" w:eastAsia="微软雅黑" w:cs="微软雅黑"/>
          <w:b/>
          <w:bCs/>
        </w:rPr>
        <w:t xml:space="preserve"> 3. AI Agent与RPA的融合创新</w:t>
      </w:r>
      <w:r>
        <w:rPr>
          <w:rFonts w:hint="eastAsia" w:cs="微软雅黑"/>
          <w:b/>
          <w:bCs/>
          <w:lang w:eastAsia="zh-CN"/>
        </w:rPr>
        <w:t>：</w:t>
      </w:r>
      <w:r>
        <w:rPr>
          <w:rFonts w:hint="eastAsia" w:ascii="微软雅黑" w:hAnsi="微软雅黑" w:eastAsia="微软雅黑" w:cs="微软雅黑"/>
          <w:b/>
          <w:bCs/>
        </w:rPr>
        <w:t>大模型+AI Agent+RPA综合应用</w:t>
      </w:r>
    </w:p>
    <w:p>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代表案例：实在智能的RPA解决方案在银行后台操作自动化中的应用，如自动报表生成与数据分析。</w:t>
      </w:r>
    </w:p>
    <w:p>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业务价值：展现该融合方案在提高作业效率、减少错误率及优化人力资源配置上的显著成效。</w:t>
      </w:r>
    </w:p>
    <w:p>
      <w:pPr>
        <w:keepNext w:val="0"/>
        <w:keepLines w:val="0"/>
        <w:pageBreakBefore w:val="0"/>
        <w:widowControl w:val="0"/>
        <w:numPr>
          <w:ilvl w:val="0"/>
          <w:numId w:val="8"/>
        </w:numPr>
        <w:kinsoku/>
        <w:wordWrap/>
        <w:overflowPunct/>
        <w:topLinePunct w:val="0"/>
        <w:autoSpaceDE/>
        <w:autoSpaceDN/>
        <w:bidi w:val="0"/>
        <w:adjustRightInd/>
        <w:snapToGrid/>
        <w:spacing w:line="500" w:lineRule="exact"/>
        <w:ind w:left="420" w:leftChars="0" w:hanging="420" w:firstLineChars="0"/>
        <w:textAlignment w:val="auto"/>
        <w:rPr>
          <w:rFonts w:hint="eastAsia" w:ascii="微软雅黑" w:hAnsi="微软雅黑" w:eastAsia="微软雅黑" w:cs="微软雅黑"/>
        </w:rPr>
      </w:pPr>
      <w:r>
        <w:rPr>
          <w:rFonts w:hint="eastAsia" w:ascii="微软雅黑" w:hAnsi="微软雅黑" w:eastAsia="微软雅黑" w:cs="微软雅黑"/>
        </w:rPr>
        <w:t>发展前景：讨论AI+RPA技术未来在银行业的潜在应用场景与战略意义。</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兰亭黑简体">
    <w:panose1 w:val="02000000000000000000"/>
    <w:charset w:val="86"/>
    <w:family w:val="auto"/>
    <w:pitch w:val="default"/>
    <w:sig w:usb0="A00002BF" w:usb1="184F6CFA" w:usb2="00000012" w:usb3="00000000" w:csb0="00040001" w:csb1="00000000"/>
  </w:font>
  <w:font w:name="方正兰亭细黑简体">
    <w:panose1 w:val="02000500000000000000"/>
    <w:charset w:val="86"/>
    <w:family w:val="auto"/>
    <w:pitch w:val="default"/>
    <w:sig w:usb0="A00002BF" w:usb1="184F6CFA" w:usb2="00000012" w:usb3="00000000" w:csb0="00040001"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A3ACFC"/>
    <w:multiLevelType w:val="singleLevel"/>
    <w:tmpl w:val="B8A3ACFC"/>
    <w:lvl w:ilvl="0" w:tentative="0">
      <w:start w:val="2"/>
      <w:numFmt w:val="decimal"/>
      <w:lvlText w:val="%1."/>
      <w:lvlJc w:val="left"/>
      <w:pPr>
        <w:tabs>
          <w:tab w:val="left" w:pos="312"/>
        </w:tabs>
      </w:pPr>
    </w:lvl>
  </w:abstractNum>
  <w:abstractNum w:abstractNumId="1">
    <w:nsid w:val="C35793D5"/>
    <w:multiLevelType w:val="singleLevel"/>
    <w:tmpl w:val="C35793D5"/>
    <w:lvl w:ilvl="0" w:tentative="0">
      <w:start w:val="3"/>
      <w:numFmt w:val="decimal"/>
      <w:suff w:val="space"/>
      <w:lvlText w:val="%1."/>
      <w:lvlJc w:val="left"/>
    </w:lvl>
  </w:abstractNum>
  <w:abstractNum w:abstractNumId="2">
    <w:nsid w:val="CB28D05D"/>
    <w:multiLevelType w:val="singleLevel"/>
    <w:tmpl w:val="CB28D05D"/>
    <w:lvl w:ilvl="0" w:tentative="0">
      <w:start w:val="1"/>
      <w:numFmt w:val="bullet"/>
      <w:lvlText w:val=""/>
      <w:lvlJc w:val="left"/>
      <w:pPr>
        <w:ind w:left="420" w:hanging="420"/>
      </w:pPr>
      <w:rPr>
        <w:rFonts w:hint="default" w:ascii="Wingdings" w:hAnsi="Wingdings"/>
      </w:rPr>
    </w:lvl>
  </w:abstractNum>
  <w:abstractNum w:abstractNumId="3">
    <w:nsid w:val="D77CE17B"/>
    <w:multiLevelType w:val="singleLevel"/>
    <w:tmpl w:val="D77CE17B"/>
    <w:lvl w:ilvl="0" w:tentative="0">
      <w:start w:val="1"/>
      <w:numFmt w:val="bullet"/>
      <w:lvlText w:val=""/>
      <w:lvlJc w:val="left"/>
      <w:pPr>
        <w:ind w:left="420" w:hanging="420"/>
      </w:pPr>
      <w:rPr>
        <w:rFonts w:hint="default" w:ascii="Wingdings" w:hAnsi="Wingdings"/>
      </w:rPr>
    </w:lvl>
  </w:abstractNum>
  <w:abstractNum w:abstractNumId="4">
    <w:nsid w:val="21AFC6D9"/>
    <w:multiLevelType w:val="multilevel"/>
    <w:tmpl w:val="21AFC6D9"/>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tabs>
          <w:tab w:val="left" w:pos="840"/>
        </w:tabs>
        <w:ind w:left="840" w:leftChars="0" w:hanging="420" w:firstLineChars="0"/>
      </w:pPr>
      <w:rPr>
        <w:rFonts w:hint="default" w:ascii="Wingdings" w:hAnsi="Wingdings"/>
      </w:rPr>
    </w:lvl>
    <w:lvl w:ilvl="2" w:tentative="0">
      <w:start w:val="1"/>
      <w:numFmt w:val="bullet"/>
      <w:lvlText w:val=""/>
      <w:lvlJc w:val="left"/>
      <w:pPr>
        <w:tabs>
          <w:tab w:val="left" w:pos="1260"/>
        </w:tabs>
        <w:ind w:left="1260" w:leftChars="0" w:hanging="420" w:firstLineChars="0"/>
      </w:pPr>
      <w:rPr>
        <w:rFonts w:hint="default" w:ascii="Wingdings" w:hAnsi="Wingdings"/>
      </w:rPr>
    </w:lvl>
    <w:lvl w:ilvl="3" w:tentative="0">
      <w:start w:val="1"/>
      <w:numFmt w:val="bullet"/>
      <w:lvlText w:val=""/>
      <w:lvlJc w:val="left"/>
      <w:pPr>
        <w:tabs>
          <w:tab w:val="left" w:pos="1680"/>
        </w:tabs>
        <w:ind w:left="1680" w:leftChars="0" w:hanging="420" w:firstLineChars="0"/>
      </w:pPr>
      <w:rPr>
        <w:rFonts w:hint="default" w:ascii="Wingdings" w:hAnsi="Wingdings"/>
      </w:rPr>
    </w:lvl>
    <w:lvl w:ilvl="4" w:tentative="0">
      <w:start w:val="1"/>
      <w:numFmt w:val="bullet"/>
      <w:lvlText w:val=""/>
      <w:lvlJc w:val="left"/>
      <w:pPr>
        <w:tabs>
          <w:tab w:val="left" w:pos="2100"/>
        </w:tabs>
        <w:ind w:left="2100" w:leftChars="0" w:hanging="420" w:firstLineChars="0"/>
      </w:pPr>
      <w:rPr>
        <w:rFonts w:hint="default" w:ascii="Wingdings" w:hAnsi="Wingdings"/>
      </w:rPr>
    </w:lvl>
    <w:lvl w:ilvl="5" w:tentative="0">
      <w:start w:val="1"/>
      <w:numFmt w:val="bullet"/>
      <w:lvlText w:val=""/>
      <w:lvlJc w:val="left"/>
      <w:pPr>
        <w:tabs>
          <w:tab w:val="left" w:pos="2520"/>
        </w:tabs>
        <w:ind w:left="2520" w:leftChars="0" w:hanging="420" w:firstLineChars="0"/>
      </w:pPr>
      <w:rPr>
        <w:rFonts w:hint="default" w:ascii="Wingdings" w:hAnsi="Wingdings"/>
      </w:rPr>
    </w:lvl>
    <w:lvl w:ilvl="6" w:tentative="0">
      <w:start w:val="1"/>
      <w:numFmt w:val="bullet"/>
      <w:lvlText w:val=""/>
      <w:lvlJc w:val="left"/>
      <w:pPr>
        <w:tabs>
          <w:tab w:val="left" w:pos="2940"/>
        </w:tabs>
        <w:ind w:left="2940" w:leftChars="0" w:hanging="420" w:firstLineChars="0"/>
      </w:pPr>
      <w:rPr>
        <w:rFonts w:hint="default" w:ascii="Wingdings" w:hAnsi="Wingdings"/>
      </w:rPr>
    </w:lvl>
    <w:lvl w:ilvl="7" w:tentative="0">
      <w:start w:val="1"/>
      <w:numFmt w:val="bullet"/>
      <w:lvlText w:val=""/>
      <w:lvlJc w:val="left"/>
      <w:pPr>
        <w:tabs>
          <w:tab w:val="left" w:pos="3360"/>
        </w:tabs>
        <w:ind w:left="3360" w:leftChars="0" w:hanging="420" w:firstLineChars="0"/>
      </w:pPr>
      <w:rPr>
        <w:rFonts w:hint="default" w:ascii="Wingdings" w:hAnsi="Wingdings"/>
      </w:rPr>
    </w:lvl>
    <w:lvl w:ilvl="8" w:tentative="0">
      <w:start w:val="1"/>
      <w:numFmt w:val="bullet"/>
      <w:lvlText w:val=""/>
      <w:lvlJc w:val="left"/>
      <w:pPr>
        <w:tabs>
          <w:tab w:val="left" w:pos="3780"/>
        </w:tabs>
        <w:ind w:left="3780" w:leftChars="0" w:hanging="420" w:firstLineChars="0"/>
      </w:pPr>
      <w:rPr>
        <w:rFonts w:hint="default" w:ascii="Wingdings" w:hAnsi="Wingdings"/>
      </w:rPr>
    </w:lvl>
  </w:abstractNum>
  <w:abstractNum w:abstractNumId="5">
    <w:nsid w:val="41DE9ADC"/>
    <w:multiLevelType w:val="singleLevel"/>
    <w:tmpl w:val="41DE9ADC"/>
    <w:lvl w:ilvl="0" w:tentative="0">
      <w:start w:val="1"/>
      <w:numFmt w:val="bullet"/>
      <w:lvlText w:val=""/>
      <w:lvlJc w:val="left"/>
      <w:pPr>
        <w:ind w:left="420" w:hanging="420"/>
      </w:pPr>
      <w:rPr>
        <w:rFonts w:hint="default" w:ascii="Wingdings" w:hAnsi="Wingdings"/>
      </w:rPr>
    </w:lvl>
  </w:abstractNum>
  <w:abstractNum w:abstractNumId="6">
    <w:nsid w:val="4EF566A0"/>
    <w:multiLevelType w:val="singleLevel"/>
    <w:tmpl w:val="4EF566A0"/>
    <w:lvl w:ilvl="0" w:tentative="0">
      <w:start w:val="1"/>
      <w:numFmt w:val="bullet"/>
      <w:lvlText w:val=""/>
      <w:lvlJc w:val="left"/>
      <w:pPr>
        <w:ind w:left="420" w:hanging="420"/>
      </w:pPr>
      <w:rPr>
        <w:rFonts w:hint="default" w:ascii="Wingdings" w:hAnsi="Wingdings"/>
      </w:rPr>
    </w:lvl>
  </w:abstractNum>
  <w:abstractNum w:abstractNumId="7">
    <w:nsid w:val="7A79CC6F"/>
    <w:multiLevelType w:val="singleLevel"/>
    <w:tmpl w:val="7A79CC6F"/>
    <w:lvl w:ilvl="0" w:tentative="0">
      <w:start w:val="1"/>
      <w:numFmt w:val="bullet"/>
      <w:lvlText w:val=""/>
      <w:lvlJc w:val="left"/>
      <w:pPr>
        <w:ind w:left="420" w:hanging="420"/>
      </w:pPr>
      <w:rPr>
        <w:rFonts w:hint="default" w:ascii="Wingdings" w:hAnsi="Wingdings"/>
      </w:rPr>
    </w:lvl>
  </w:abstractNum>
  <w:num w:numId="1">
    <w:abstractNumId w:val="2"/>
  </w:num>
  <w:num w:numId="2">
    <w:abstractNumId w:val="1"/>
  </w:num>
  <w:num w:numId="3">
    <w:abstractNumId w:val="3"/>
  </w:num>
  <w:num w:numId="4">
    <w:abstractNumId w:val="7"/>
  </w:num>
  <w:num w:numId="5">
    <w:abstractNumId w:val="0"/>
  </w:num>
  <w:num w:numId="6">
    <w:abstractNumId w:val="4"/>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676B6D0A"/>
    <w:rsid w:val="0C0A7C01"/>
    <w:rsid w:val="12C7685F"/>
    <w:rsid w:val="1368042C"/>
    <w:rsid w:val="17213637"/>
    <w:rsid w:val="2CAC21F7"/>
    <w:rsid w:val="49060246"/>
    <w:rsid w:val="5A47583A"/>
    <w:rsid w:val="676B6D0A"/>
    <w:rsid w:val="67F66F8E"/>
    <w:rsid w:val="6CEC3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微软雅黑" w:hAnsi="微软雅黑" w:eastAsia="微软雅黑" w:cs="微软雅黑"/>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一级标题"/>
    <w:basedOn w:val="1"/>
    <w:qFormat/>
    <w:uiPriority w:val="0"/>
    <w:rPr>
      <w:rFonts w:eastAsia="方正兰亭黑简体" w:asciiTheme="minorAscii" w:hAnsiTheme="minorAscii"/>
    </w:rPr>
  </w:style>
  <w:style w:type="paragraph" w:customStyle="1" w:styleId="5">
    <w:name w:val="二级标题"/>
    <w:basedOn w:val="1"/>
    <w:qFormat/>
    <w:uiPriority w:val="0"/>
    <w:pPr>
      <w:spacing w:line="440" w:lineRule="exact"/>
      <w:jc w:val="left"/>
    </w:pPr>
    <w:rPr>
      <w:rFonts w:hint="eastAsia" w:ascii="方正兰亭细黑简体" w:hAnsi="方正兰亭细黑简体" w:eastAsia="方正兰亭细黑简体" w:cs="方正兰亭细黑简体"/>
      <w:sz w:val="18"/>
    </w:rPr>
  </w:style>
  <w:style w:type="paragraph" w:customStyle="1" w:styleId="6">
    <w:name w:val="三级标题"/>
    <w:basedOn w:val="1"/>
    <w:qFormat/>
    <w:uiPriority w:val="0"/>
    <w:pPr>
      <w:spacing w:line="440" w:lineRule="exact"/>
      <w:jc w:val="left"/>
    </w:pPr>
    <w:rPr>
      <w:rFonts w:hint="eastAsia" w:ascii="方正兰亭细黑简体" w:hAnsi="方正兰亭细黑简体" w:eastAsia="方正兰亭细黑简体" w:cs="方正兰亭细黑简体"/>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6</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2024-06-24T10:12:00Z</dcterms:created>
  <dc:creator>枫影</dc:creator>
  <cp:lastModifiedBy>枫影</cp:lastModifiedBy>
  <dcterms:modified xsi:type="dcterms:W3CDTF">2024-06-24T10:19:47Z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354F2FE3BBAE4896B036546476D2E7B9_11</vt:lpwstr>
  </property>
</Properties>
</file>