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保险业的整合营销</w:t>
      </w:r>
    </w:p>
    <w:p>
      <w:pPr>
        <w:numPr>
          <w:numId w:val="0"/>
        </w:numP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【课程背景】</w:t>
      </w:r>
    </w:p>
    <w:p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保险业围绕用户的需求，展开与其他企业共建复合型供给侧的整合营销体系，是数字化时代敏捷性营销的典型方式。本课程将系统阐述整合营销，为保险业带来新的营销理念和思路。</w:t>
      </w:r>
    </w:p>
    <w:p>
      <w:pPr>
        <w:numPr>
          <w:ilvl w:val="0"/>
          <w:numId w:val="0"/>
        </w:numP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numPr>
          <w:ilvl w:val="0"/>
          <w:numId w:val="1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了解整合营销的核心思想</w:t>
      </w:r>
    </w:p>
    <w:p>
      <w:pPr>
        <w:numPr>
          <w:ilvl w:val="0"/>
          <w:numId w:val="1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掌握整合营销的落地实施方法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【课程对象】</w:t>
      </w:r>
      <w:r>
        <w:rPr>
          <w:rFonts w:hint="eastAsia"/>
          <w:lang w:val="en-US" w:eastAsia="zh-CN"/>
        </w:rPr>
        <w:t>保险营销体系</w:t>
      </w:r>
    </w:p>
    <w:p>
      <w:pPr>
        <w:rPr>
          <w:rFonts w:hint="eastAsia"/>
          <w:lang w:val="en-US" w:eastAsia="zh-CN"/>
        </w:rPr>
      </w:pP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/>
          <w:lang w:val="en-US" w:eastAsia="zh-CN"/>
        </w:rPr>
        <w:t>1天</w:t>
      </w:r>
    </w:p>
    <w:p>
      <w:pP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numPr>
          <w:ilvl w:val="0"/>
          <w:numId w:val="2"/>
        </w:numP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整合营销</w:t>
      </w:r>
    </w:p>
    <w:p>
      <w:pPr>
        <w:numPr>
          <w:ilvl w:val="0"/>
          <w:numId w:val="3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定义：围绕用户需求，整合一切可以整合的资源展开的营销</w:t>
      </w:r>
    </w:p>
    <w:p>
      <w:pPr>
        <w:numPr>
          <w:ilvl w:val="0"/>
          <w:numId w:val="3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实质：以用户数据为关键，敏捷性重构供给侧</w:t>
      </w:r>
    </w:p>
    <w:p>
      <w:pPr>
        <w:numPr>
          <w:ilvl w:val="0"/>
          <w:numId w:val="3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具体表现：</w:t>
      </w:r>
    </w:p>
    <w:p>
      <w:pPr>
        <w:numPr>
          <w:ilvl w:val="0"/>
          <w:numId w:val="4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跨界、跨组织整合产品</w:t>
      </w:r>
    </w:p>
    <w:p>
      <w:pPr>
        <w:numPr>
          <w:ilvl w:val="0"/>
          <w:numId w:val="4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跨界、跨组织整合渠道</w:t>
      </w:r>
    </w:p>
    <w:p>
      <w:pPr>
        <w:numPr>
          <w:ilvl w:val="0"/>
          <w:numId w:val="4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跨界、跨组织定义用户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整合营销的理念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链接，重新定义“我们的用户”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跨界，重新定义“我们的产品”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赋能，重新定义“我们的渠道”</w:t>
      </w:r>
    </w:p>
    <w:p>
      <w:pPr>
        <w:numPr>
          <w:numId w:val="0"/>
        </w:numPr>
        <w:spacing w:line="360" w:lineRule="auto"/>
        <w:rPr>
          <w:rFonts w:hint="default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【案例】平安保险的“平安好医生”、泰康人寿的“健康险+养老社区”</w:t>
      </w:r>
    </w:p>
    <w:p>
      <w:pPr>
        <w:numPr>
          <w:ilvl w:val="0"/>
          <w:numId w:val="2"/>
        </w:numPr>
        <w:rPr>
          <w:rFonts w:hint="default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整合营销的核心</w:t>
      </w:r>
    </w:p>
    <w:p>
      <w:pPr>
        <w:numPr>
          <w:ilvl w:val="0"/>
          <w:numId w:val="6"/>
        </w:num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重新定义用户群体</w:t>
      </w:r>
    </w:p>
    <w:p>
      <w:pPr>
        <w:numPr>
          <w:ilvl w:val="0"/>
          <w:numId w:val="7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以业务定义用户的范围</w:t>
      </w:r>
    </w:p>
    <w:p>
      <w:pPr>
        <w:numPr>
          <w:ilvl w:val="0"/>
          <w:numId w:val="7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以现有的链接圈定用户群体</w:t>
      </w:r>
    </w:p>
    <w:p>
      <w:pPr>
        <w:numPr>
          <w:ilvl w:val="0"/>
          <w:numId w:val="7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“用户+数据+共享”，实现“大用户”和“大数据”</w:t>
      </w:r>
    </w:p>
    <w:p>
      <w:pPr>
        <w:numPr>
          <w:ilvl w:val="0"/>
          <w:numId w:val="7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进行用户数据的洞察，挖掘用户场景需求</w:t>
      </w:r>
    </w:p>
    <w:p>
      <w:pPr>
        <w:numPr>
          <w:numId w:val="0"/>
        </w:numPr>
        <w:spacing w:line="360" w:lineRule="auto"/>
        <w:rPr>
          <w:rFonts w:hint="default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【案例】太平洋保险的“太保家园”，为保险公司提供一个了解客户需求的机会</w:t>
      </w:r>
    </w:p>
    <w:p>
      <w:pPr>
        <w:numPr>
          <w:ilvl w:val="0"/>
          <w:numId w:val="6"/>
        </w:numPr>
        <w:spacing w:line="360" w:lineRule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重新定义供给产品</w:t>
      </w:r>
    </w:p>
    <w:p>
      <w:pPr>
        <w:numPr>
          <w:ilvl w:val="0"/>
          <w:numId w:val="8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敏捷性开发新产品</w:t>
      </w:r>
    </w:p>
    <w:p>
      <w:pPr>
        <w:numPr>
          <w:ilvl w:val="0"/>
          <w:numId w:val="8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保险供应链，整合各类保险产品</w:t>
      </w:r>
    </w:p>
    <w:p>
      <w:pPr>
        <w:numPr>
          <w:ilvl w:val="0"/>
          <w:numId w:val="8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联合开发，与相关机构企业共同开发产品</w:t>
      </w:r>
    </w:p>
    <w:p>
      <w:pPr>
        <w:numPr>
          <w:ilvl w:val="0"/>
          <w:numId w:val="8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产品服务化，做好用户良好的体验</w:t>
      </w:r>
    </w:p>
    <w:p>
      <w:pPr>
        <w:numPr>
          <w:ilvl w:val="0"/>
          <w:numId w:val="8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产品金融化，让产品更具有投资属性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【案例】新华人寿“健康管理计划”通过与健康管理机构合作，为客户提供健康管理服务</w:t>
      </w:r>
    </w:p>
    <w:p>
      <w:pPr>
        <w:numPr>
          <w:ilvl w:val="0"/>
          <w:numId w:val="6"/>
        </w:numPr>
        <w:spacing w:line="360" w:lineRule="auto"/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重新定义渠道</w:t>
      </w:r>
    </w:p>
    <w:p>
      <w:pPr>
        <w:numPr>
          <w:ilvl w:val="0"/>
          <w:numId w:val="9"/>
        </w:numPr>
        <w:spacing w:line="36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自建线上+线下全渠道</w:t>
      </w:r>
    </w:p>
    <w:p>
      <w:pPr>
        <w:numPr>
          <w:ilvl w:val="0"/>
          <w:numId w:val="9"/>
        </w:numPr>
        <w:spacing w:line="36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合作伙伴即渠道</w:t>
      </w:r>
    </w:p>
    <w:p>
      <w:pPr>
        <w:numPr>
          <w:ilvl w:val="0"/>
          <w:numId w:val="9"/>
        </w:numPr>
        <w:spacing w:line="36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用户即渠道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【案例】鼎力保险经纪X航旅纵横开发的新冠津贴险，让航旅纵横成为渠道</w:t>
      </w:r>
    </w:p>
    <w:p>
      <w:pPr>
        <w:numPr>
          <w:ilvl w:val="0"/>
          <w:numId w:val="2"/>
        </w:numPr>
        <w:spacing w:line="360" w:lineRule="auto"/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整合营销的落地</w:t>
      </w:r>
    </w:p>
    <w:p>
      <w:pPr>
        <w:numPr>
          <w:ilvl w:val="0"/>
          <w:numId w:val="10"/>
        </w:numPr>
        <w:spacing w:line="360" w:lineRule="auto"/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搭建强大数字化平台，实现用户、供应商、合作伙伴的数字化</w:t>
      </w:r>
    </w:p>
    <w:p>
      <w:pPr>
        <w:numPr>
          <w:ilvl w:val="0"/>
          <w:numId w:val="11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用户数字化：用户画像、标签、分类、等级等的用户数字化</w:t>
      </w:r>
    </w:p>
    <w:p>
      <w:pPr>
        <w:numPr>
          <w:ilvl w:val="0"/>
          <w:numId w:val="11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供应商数字化：即保险产品的数字化，有品类、产品等</w:t>
      </w:r>
    </w:p>
    <w:p>
      <w:pPr>
        <w:numPr>
          <w:ilvl w:val="0"/>
          <w:numId w:val="11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合作伙伴数字化：构建合作伙伴的数字化体系</w:t>
      </w:r>
    </w:p>
    <w:p>
      <w:pPr>
        <w:numPr>
          <w:ilvl w:val="0"/>
          <w:numId w:val="0"/>
        </w:numPr>
        <w:spacing w:line="360" w:lineRule="auto"/>
        <w:rPr>
          <w:rFonts w:hint="default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【案例】众安保险的“尊享e生”百万医疗险整合营销对年轻人的洞察</w:t>
      </w:r>
    </w:p>
    <w:p>
      <w:pPr>
        <w:numPr>
          <w:ilvl w:val="0"/>
          <w:numId w:val="10"/>
        </w:numPr>
        <w:spacing w:line="360" w:lineRule="auto"/>
        <w:ind w:left="0" w:leftChars="0" w:firstLine="0" w:firstLineChars="0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洞察用户场景，嵌入保险类产品，搭建数字化场景，创建新价值</w:t>
      </w:r>
    </w:p>
    <w:p>
      <w:pPr>
        <w:numPr>
          <w:ilvl w:val="0"/>
          <w:numId w:val="12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圈定用户群体，深入研究用户群体的生活场景，提炼痛点和嗨点</w:t>
      </w:r>
    </w:p>
    <w:p>
      <w:pPr>
        <w:numPr>
          <w:ilvl w:val="0"/>
          <w:numId w:val="12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进行场景设计，嵌入保险类产品</w:t>
      </w:r>
    </w:p>
    <w:p>
      <w:pPr>
        <w:numPr>
          <w:ilvl w:val="0"/>
          <w:numId w:val="12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跨界合作，与用户所在的“宿主”进行跨界合作，开发新场景、新价值</w:t>
      </w:r>
    </w:p>
    <w:p>
      <w:pPr>
        <w:numPr>
          <w:ilvl w:val="0"/>
          <w:numId w:val="0"/>
        </w:numPr>
        <w:spacing w:line="360" w:lineRule="auto"/>
        <w:rPr>
          <w:rFonts w:hint="default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【案例】“太平乐享家“的养老社区新场景、新价值</w:t>
      </w:r>
    </w:p>
    <w:p>
      <w:pPr>
        <w:numPr>
          <w:ilvl w:val="0"/>
          <w:numId w:val="10"/>
        </w:numPr>
        <w:spacing w:line="360" w:lineRule="auto"/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跨界全渠道多触点IP营销</w:t>
      </w:r>
    </w:p>
    <w:p>
      <w:pPr>
        <w:numPr>
          <w:ilvl w:val="0"/>
          <w:numId w:val="13"/>
        </w:numPr>
        <w:spacing w:line="36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保险公司与合作方多方共同做IP营销</w:t>
      </w:r>
    </w:p>
    <w:p>
      <w:pPr>
        <w:numPr>
          <w:ilvl w:val="0"/>
          <w:numId w:val="13"/>
        </w:numPr>
        <w:spacing w:line="36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线上+线下全渠道触达</w:t>
      </w:r>
    </w:p>
    <w:p>
      <w:pPr>
        <w:numPr>
          <w:ilvl w:val="0"/>
          <w:numId w:val="13"/>
        </w:numPr>
        <w:spacing w:line="36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依托媒体+网络+场景+用户口碑，实施浪潮式营销</w:t>
      </w:r>
    </w:p>
    <w:p>
      <w:pPr>
        <w:numPr>
          <w:numId w:val="0"/>
        </w:numPr>
        <w:spacing w:line="360" w:lineRule="auto"/>
        <w:rPr>
          <w:rFonts w:hint="default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【案例】中国太平洋保险X中国女排在体育领域的整合营销</w:t>
      </w:r>
    </w:p>
    <w:p>
      <w:pPr>
        <w:numPr>
          <w:ilvl w:val="0"/>
          <w:numId w:val="10"/>
        </w:numPr>
        <w:spacing w:line="360" w:lineRule="auto"/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打造完美的用户体验，实现营销的闭环</w:t>
      </w:r>
    </w:p>
    <w:p>
      <w:pPr>
        <w:numPr>
          <w:ilvl w:val="0"/>
          <w:numId w:val="14"/>
        </w:numPr>
        <w:spacing w:line="36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以IP+场景+体验+媒体，实现新型价值的营销闭环</w:t>
      </w:r>
    </w:p>
    <w:p>
      <w:pPr>
        <w:numPr>
          <w:ilvl w:val="0"/>
          <w:numId w:val="14"/>
        </w:numPr>
        <w:spacing w:line="360" w:lineRule="auto"/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打造完美场景体验，提升用户满意和忠诚</w:t>
      </w:r>
    </w:p>
    <w:p>
      <w:pPr>
        <w:numPr>
          <w:ilvl w:val="0"/>
          <w:numId w:val="14"/>
        </w:numPr>
        <w:spacing w:line="360" w:lineRule="auto"/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构建“群体情绪”+“社交发酵”，现实二次传播</w:t>
      </w:r>
    </w:p>
    <w:p>
      <w:pPr>
        <w:numPr>
          <w:ilvl w:val="0"/>
          <w:numId w:val="0"/>
        </w:numPr>
        <w:spacing w:line="360" w:lineRule="auto"/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【案例】平安保险的线上线下整合服务，全方位提升客户满意，促进客户口碑传播</w:t>
      </w:r>
    </w:p>
    <w:p>
      <w:pPr>
        <w:numPr>
          <w:ilvl w:val="0"/>
          <w:numId w:val="10"/>
        </w:numPr>
        <w:spacing w:line="360" w:lineRule="auto"/>
        <w:ind w:left="0" w:leftChars="0" w:firstLine="0" w:firstLineChars="0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商业设计与组织变革</w:t>
      </w:r>
    </w:p>
    <w:p>
      <w:pPr>
        <w:numPr>
          <w:numId w:val="0"/>
        </w:numPr>
        <w:spacing w:line="36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（1）敏捷性相应用户需求需要构建新型商业模式和敏捷性组织</w:t>
      </w:r>
    </w:p>
    <w:p>
      <w:pPr>
        <w:numPr>
          <w:numId w:val="0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（2）“围点打圆”，构建新型商业模式</w:t>
      </w:r>
    </w:p>
    <w:p>
      <w:pPr>
        <w:numPr>
          <w:numId w:val="0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（3）企业平台化，产品项目化、成员合伙化，团队敏捷化</w:t>
      </w:r>
    </w:p>
    <w:p>
      <w:pPr>
        <w:numPr>
          <w:numId w:val="0"/>
        </w:num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（4）创新性文化与团队建设</w:t>
      </w:r>
    </w:p>
    <w:p>
      <w:pPr>
        <w:numPr>
          <w:numId w:val="0"/>
        </w:numPr>
        <w:spacing w:line="360" w:lineRule="auto"/>
        <w:rPr>
          <w:rFonts w:hint="default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lang w:val="en-US" w:eastAsia="zh-CN"/>
        </w:rPr>
        <w:t>（5）数字化平台搭建与资源的快速配置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69886F"/>
    <w:multiLevelType w:val="singleLevel"/>
    <w:tmpl w:val="9069886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C42D297"/>
    <w:multiLevelType w:val="singleLevel"/>
    <w:tmpl w:val="BC42D297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C41AC7E1"/>
    <w:multiLevelType w:val="singleLevel"/>
    <w:tmpl w:val="C41AC7E1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DED99A65"/>
    <w:multiLevelType w:val="singleLevel"/>
    <w:tmpl w:val="DED99A6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EB65000C"/>
    <w:multiLevelType w:val="singleLevel"/>
    <w:tmpl w:val="EB65000C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5">
    <w:nsid w:val="0484957F"/>
    <w:multiLevelType w:val="singleLevel"/>
    <w:tmpl w:val="0484957F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11E4307F"/>
    <w:multiLevelType w:val="singleLevel"/>
    <w:tmpl w:val="11E4307F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17D048FB"/>
    <w:multiLevelType w:val="singleLevel"/>
    <w:tmpl w:val="17D048FB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1BB1AE10"/>
    <w:multiLevelType w:val="singleLevel"/>
    <w:tmpl w:val="1BB1AE1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1FD01A58"/>
    <w:multiLevelType w:val="singleLevel"/>
    <w:tmpl w:val="1FD01A58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6521D9AA"/>
    <w:multiLevelType w:val="singleLevel"/>
    <w:tmpl w:val="6521D9AA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67FCA457"/>
    <w:multiLevelType w:val="singleLevel"/>
    <w:tmpl w:val="67FCA4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2">
    <w:nsid w:val="6A3124AF"/>
    <w:multiLevelType w:val="singleLevel"/>
    <w:tmpl w:val="6A3124AF"/>
    <w:lvl w:ilvl="0" w:tentative="0">
      <w:start w:val="1"/>
      <w:numFmt w:val="decimal"/>
      <w:suff w:val="nothing"/>
      <w:lvlText w:val="（%1）"/>
      <w:lvlJc w:val="left"/>
    </w:lvl>
  </w:abstractNum>
  <w:abstractNum w:abstractNumId="13">
    <w:nsid w:val="7DAE5416"/>
    <w:multiLevelType w:val="singleLevel"/>
    <w:tmpl w:val="7DAE5416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5"/>
  </w:num>
  <w:num w:numId="5">
    <w:abstractNumId w:val="13"/>
  </w:num>
  <w:num w:numId="6">
    <w:abstractNumId w:val="11"/>
  </w:num>
  <w:num w:numId="7">
    <w:abstractNumId w:val="7"/>
  </w:num>
  <w:num w:numId="8">
    <w:abstractNumId w:val="9"/>
  </w:num>
  <w:num w:numId="9">
    <w:abstractNumId w:val="10"/>
  </w:num>
  <w:num w:numId="10">
    <w:abstractNumId w:val="8"/>
  </w:num>
  <w:num w:numId="11">
    <w:abstractNumId w:val="2"/>
  </w:num>
  <w:num w:numId="12">
    <w:abstractNumId w:val="12"/>
  </w:num>
  <w:num w:numId="13">
    <w:abstractNumId w:val="6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0B667C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autoRedefine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ata\weboffice\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34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2018-05-27T17:24:00Z</dcterms:created>
  <dc:creator>枫影</dc:creator>
  <cp:lastModifiedBy>枫影</cp:lastModifiedBy>
  <dcterms:modified xsi:type="dcterms:W3CDTF">2024-01-12T12:09:04Z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DD71EFEF02CC40359CB34FEDE83AE80C_12</vt:lpwstr>
  </property>
</Properties>
</file>