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b/>
          <w:bCs/>
          <w:color w:val="0070C0"/>
          <w:sz w:val="32"/>
          <w:szCs w:val="32"/>
        </w:rPr>
      </w:pPr>
      <w:bookmarkStart w:id="0" w:name="_GoBack"/>
      <w:r>
        <w:rPr>
          <w:rFonts w:hint="eastAsia"/>
          <w:b/>
          <w:bCs/>
          <w:color w:val="0070C0"/>
          <w:sz w:val="32"/>
          <w:szCs w:val="32"/>
        </w:rPr>
        <w:t>燃气公司及市政地下管网（给排水、供气、供热）</w:t>
      </w:r>
    </w:p>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b/>
          <w:bCs/>
          <w:color w:val="0070C0"/>
          <w:sz w:val="32"/>
          <w:szCs w:val="32"/>
        </w:rPr>
      </w:pPr>
      <w:r>
        <w:rPr>
          <w:rFonts w:hint="eastAsia"/>
          <w:b/>
          <w:bCs/>
          <w:color w:val="0070C0"/>
          <w:sz w:val="32"/>
          <w:szCs w:val="32"/>
        </w:rPr>
        <w:t>数字化转型</w:t>
      </w:r>
    </w:p>
    <w:bookmarkEnd w:id="0"/>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b/>
          <w:bCs/>
          <w:color w:val="0070C0"/>
          <w:sz w:val="24"/>
          <w:szCs w:val="24"/>
          <w:lang w:eastAsia="zh-CN"/>
        </w:rPr>
      </w:pPr>
      <w:r>
        <w:rPr>
          <w:rFonts w:hint="eastAsia"/>
          <w:b/>
          <w:bCs/>
          <w:color w:val="0070C0"/>
          <w:sz w:val="24"/>
          <w:szCs w:val="24"/>
          <w:lang w:eastAsia="zh-CN"/>
        </w:rPr>
        <w:t>【</w:t>
      </w:r>
      <w:r>
        <w:rPr>
          <w:rFonts w:hint="eastAsia"/>
          <w:b/>
          <w:bCs/>
          <w:color w:val="0070C0"/>
          <w:sz w:val="24"/>
          <w:szCs w:val="24"/>
          <w:lang w:val="en-US" w:eastAsia="zh-CN"/>
        </w:rPr>
        <w:t>课程背景</w:t>
      </w:r>
      <w:r>
        <w:rPr>
          <w:rFonts w:hint="eastAsia"/>
          <w:b/>
          <w:bCs/>
          <w:color w:val="0070C0"/>
          <w:sz w:val="24"/>
          <w:szCs w:val="24"/>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DFDFE"/>
        <w:spacing w:before="168" w:beforeAutospacing="0" w:after="0" w:afterAutospacing="0" w:line="21" w:lineRule="atLeast"/>
        <w:ind w:left="0" w:right="0" w:firstLine="480" w:firstLineChars="200"/>
        <w:rPr>
          <w:rFonts w:hint="eastAsia" w:ascii="微软雅黑" w:hAnsi="微软雅黑" w:eastAsia="微软雅黑" w:cs="微软雅黑"/>
          <w:kern w:val="2"/>
          <w:sz w:val="24"/>
          <w:szCs w:val="24"/>
          <w:lang w:val="en-US" w:eastAsia="zh-CN" w:bidi="ar-SA"/>
        </w:rPr>
      </w:pPr>
      <w:r>
        <w:rPr>
          <w:rFonts w:hint="default" w:ascii="微软雅黑" w:hAnsi="微软雅黑" w:eastAsia="微软雅黑" w:cs="微软雅黑"/>
          <w:kern w:val="2"/>
          <w:sz w:val="24"/>
          <w:szCs w:val="24"/>
          <w:lang w:val="en-US" w:eastAsia="zh-CN" w:bidi="ar-SA"/>
        </w:rPr>
        <w:t>科技的飞速发展和数字化浪潮的推进，传统的燃气公司及市政地下管网（给排水、供气、供热）行业正面临着前所未有的挑战与机遇。这些行业作为城市基础设施的重要组成部分，其运营效率和安全性直接关系到城市居民的生活质量和城市的可持续发展。然而，传统的管理模式和技术手段已经难以满足现代城市复杂多变的运营需求。数字化转型成为提升行业运营效率、确保设施安全、满足居民日益增长的美好生活需求的关键途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DFDFE"/>
        <w:spacing w:before="168" w:beforeAutospacing="0" w:after="0" w:afterAutospacing="0" w:line="21" w:lineRule="atLeast"/>
        <w:ind w:left="0" w:right="0" w:firstLine="480" w:firstLineChars="200"/>
        <w:rPr>
          <w:rFonts w:hint="default" w:ascii="微软雅黑" w:hAnsi="微软雅黑" w:eastAsia="微软雅黑" w:cs="微软雅黑"/>
          <w:kern w:val="2"/>
          <w:sz w:val="24"/>
          <w:szCs w:val="24"/>
          <w:lang w:val="en-US" w:eastAsia="zh-CN" w:bidi="ar-SA"/>
        </w:rPr>
      </w:pPr>
      <w:r>
        <w:rPr>
          <w:rFonts w:hint="default" w:ascii="微软雅黑" w:hAnsi="微软雅黑" w:eastAsia="微软雅黑" w:cs="微软雅黑"/>
          <w:kern w:val="2"/>
          <w:sz w:val="24"/>
          <w:szCs w:val="24"/>
          <w:lang w:val="en-US" w:eastAsia="zh-CN" w:bidi="ar-SA"/>
        </w:rPr>
        <w:t>本课程旨在帮助燃气公司及市政地下管网行业的管理者和从业人员深刻理解数字化转型的内涵与价值，掌握数字化技术在行业中的具体应用，以及如何有效推进数字化转型战略。通过学习本课程，学员将能够更好地应对行业变革，提升企业竞争力，为构建智慧城市、推动城市可持续发展贡献力量。</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b/>
          <w:bCs/>
          <w:color w:val="0070C0"/>
          <w:sz w:val="24"/>
          <w:szCs w:val="24"/>
          <w:lang w:eastAsia="zh-CN"/>
        </w:rPr>
      </w:pPr>
      <w:r>
        <w:rPr>
          <w:rFonts w:hint="eastAsia"/>
          <w:b/>
          <w:bCs/>
          <w:color w:val="0070C0"/>
          <w:sz w:val="24"/>
          <w:szCs w:val="24"/>
          <w:lang w:eastAsia="zh-CN"/>
        </w:rPr>
        <w:t>【</w:t>
      </w:r>
      <w:r>
        <w:rPr>
          <w:rFonts w:hint="eastAsia"/>
          <w:b/>
          <w:bCs/>
          <w:color w:val="0070C0"/>
          <w:sz w:val="24"/>
          <w:szCs w:val="24"/>
          <w:lang w:val="en-US" w:eastAsia="zh-CN"/>
        </w:rPr>
        <w:t>课程收获</w:t>
      </w:r>
      <w:r>
        <w:rPr>
          <w:rFonts w:hint="eastAsia"/>
          <w:b/>
          <w:bCs/>
          <w:color w:val="0070C0"/>
          <w:sz w:val="24"/>
          <w:szCs w:val="24"/>
          <w:lang w:eastAsia="zh-CN"/>
        </w:rPr>
        <w:t>】</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tabs>
          <w:tab w:val="left" w:pos="720"/>
          <w:tab w:val="clear" w:pos="1140"/>
        </w:tabs>
        <w:spacing w:before="0" w:beforeAutospacing="0" w:after="0" w:afterAutospacing="0" w:line="21" w:lineRule="atLeast"/>
        <w:ind w:left="420" w:leftChars="0" w:right="0" w:hanging="360"/>
        <w:rPr>
          <w:rFonts w:hint="default" w:ascii="微软雅黑" w:hAnsi="微软雅黑" w:eastAsia="微软雅黑" w:cs="微软雅黑"/>
          <w:kern w:val="2"/>
          <w:sz w:val="24"/>
          <w:szCs w:val="24"/>
          <w:lang w:val="en-US" w:eastAsia="zh-CN" w:bidi="ar-SA"/>
        </w:rPr>
      </w:pPr>
      <w:r>
        <w:rPr>
          <w:rFonts w:hint="default" w:ascii="微软雅黑" w:hAnsi="微软雅黑" w:eastAsia="微软雅黑" w:cs="微软雅黑"/>
          <w:kern w:val="2"/>
          <w:sz w:val="24"/>
          <w:szCs w:val="24"/>
          <w:lang w:val="en-US" w:eastAsia="zh-CN" w:bidi="ar-SA"/>
        </w:rPr>
        <w:t>理解数字化转型：全面认识数字化转型对行业的价值和影响。</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tabs>
          <w:tab w:val="left" w:pos="720"/>
          <w:tab w:val="clear" w:pos="1140"/>
        </w:tabs>
        <w:spacing w:before="72" w:beforeAutospacing="0" w:after="0" w:afterAutospacing="0" w:line="21" w:lineRule="atLeast"/>
        <w:ind w:left="420" w:leftChars="0" w:right="0" w:hanging="360"/>
        <w:rPr>
          <w:rFonts w:hint="default" w:ascii="微软雅黑" w:hAnsi="微软雅黑" w:eastAsia="微软雅黑" w:cs="微软雅黑"/>
          <w:kern w:val="2"/>
          <w:sz w:val="24"/>
          <w:szCs w:val="24"/>
          <w:lang w:val="en-US" w:eastAsia="zh-CN" w:bidi="ar-SA"/>
        </w:rPr>
      </w:pPr>
      <w:r>
        <w:rPr>
          <w:rFonts w:hint="default" w:ascii="微软雅黑" w:hAnsi="微软雅黑" w:eastAsia="微软雅黑" w:cs="微软雅黑"/>
          <w:kern w:val="2"/>
          <w:sz w:val="24"/>
          <w:szCs w:val="24"/>
          <w:lang w:val="en-US" w:eastAsia="zh-CN" w:bidi="ar-SA"/>
        </w:rPr>
        <w:t>技术应用掌握：了解并掌握行业相关的数字化技术及应用。</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tabs>
          <w:tab w:val="left" w:pos="720"/>
          <w:tab w:val="clear" w:pos="1140"/>
        </w:tabs>
        <w:spacing w:before="72" w:beforeAutospacing="0" w:after="0" w:afterAutospacing="0" w:line="21" w:lineRule="atLeast"/>
        <w:ind w:left="420" w:leftChars="0" w:right="0" w:hanging="360"/>
        <w:rPr>
          <w:rFonts w:hint="default" w:ascii="微软雅黑" w:hAnsi="微软雅黑" w:eastAsia="微软雅黑" w:cs="微软雅黑"/>
          <w:kern w:val="2"/>
          <w:sz w:val="24"/>
          <w:szCs w:val="24"/>
          <w:lang w:val="en-US" w:eastAsia="zh-CN" w:bidi="ar-SA"/>
        </w:rPr>
      </w:pPr>
      <w:r>
        <w:rPr>
          <w:rFonts w:hint="default" w:ascii="微软雅黑" w:hAnsi="微软雅黑" w:eastAsia="微软雅黑" w:cs="微软雅黑"/>
          <w:kern w:val="2"/>
          <w:sz w:val="24"/>
          <w:szCs w:val="24"/>
          <w:lang w:val="en-US" w:eastAsia="zh-CN" w:bidi="ar-SA"/>
        </w:rPr>
        <w:t>明确转型路径：清晰知道如何实施数字化转型。</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tabs>
          <w:tab w:val="left" w:pos="720"/>
          <w:tab w:val="clear" w:pos="1140"/>
        </w:tabs>
        <w:spacing w:before="72" w:beforeAutospacing="0" w:after="0" w:afterAutospacing="0" w:line="21" w:lineRule="atLeast"/>
        <w:ind w:left="420" w:leftChars="0" w:right="0" w:hanging="360"/>
        <w:rPr>
          <w:rFonts w:hint="default" w:ascii="微软雅黑" w:hAnsi="微软雅黑" w:eastAsia="微软雅黑" w:cs="微软雅黑"/>
          <w:kern w:val="2"/>
          <w:sz w:val="24"/>
          <w:szCs w:val="24"/>
          <w:lang w:val="en-US" w:eastAsia="zh-CN" w:bidi="ar-SA"/>
        </w:rPr>
      </w:pPr>
      <w:r>
        <w:rPr>
          <w:rFonts w:hint="default" w:ascii="微软雅黑" w:hAnsi="微软雅黑" w:eastAsia="微软雅黑" w:cs="微软雅黑"/>
          <w:kern w:val="2"/>
          <w:sz w:val="24"/>
          <w:szCs w:val="24"/>
          <w:lang w:val="en-US" w:eastAsia="zh-CN" w:bidi="ar-SA"/>
        </w:rPr>
        <w:t>提升管理与决策：学会数据驱动的项目管理和科学决策。</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tabs>
          <w:tab w:val="left" w:pos="720"/>
          <w:tab w:val="clear" w:pos="1140"/>
        </w:tabs>
        <w:spacing w:before="72" w:beforeAutospacing="0" w:after="0" w:afterAutospacing="0" w:line="21" w:lineRule="atLeast"/>
        <w:ind w:left="420" w:leftChars="0" w:right="0" w:hanging="360"/>
        <w:rPr>
          <w:rFonts w:hint="default" w:ascii="微软雅黑" w:hAnsi="微软雅黑" w:eastAsia="微软雅黑" w:cs="微软雅黑"/>
          <w:kern w:val="2"/>
          <w:sz w:val="24"/>
          <w:szCs w:val="24"/>
          <w:lang w:val="en-US" w:eastAsia="zh-CN" w:bidi="ar-SA"/>
        </w:rPr>
      </w:pPr>
      <w:r>
        <w:rPr>
          <w:rFonts w:hint="default" w:ascii="微软雅黑" w:hAnsi="微软雅黑" w:eastAsia="微软雅黑" w:cs="微软雅黑"/>
          <w:kern w:val="2"/>
          <w:sz w:val="24"/>
          <w:szCs w:val="24"/>
          <w:lang w:val="en-US" w:eastAsia="zh-CN" w:bidi="ar-SA"/>
        </w:rPr>
        <w:t>职业发展助力：增强数字化技能，助力个人职业发展。</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lang w:val="en-US" w:eastAsia="zh-CN"/>
        </w:rPr>
      </w:pPr>
      <w:r>
        <w:rPr>
          <w:rFonts w:hint="eastAsia"/>
          <w:b/>
          <w:bCs/>
          <w:color w:val="0070C0"/>
          <w:sz w:val="24"/>
          <w:szCs w:val="24"/>
          <w:lang w:eastAsia="zh-CN"/>
        </w:rPr>
        <w:t>【</w:t>
      </w:r>
      <w:r>
        <w:rPr>
          <w:rFonts w:hint="eastAsia"/>
          <w:b/>
          <w:bCs/>
          <w:color w:val="0070C0"/>
          <w:sz w:val="24"/>
          <w:szCs w:val="24"/>
          <w:lang w:val="en-US" w:eastAsia="zh-CN"/>
        </w:rPr>
        <w:t>课程对象</w:t>
      </w:r>
      <w:r>
        <w:rPr>
          <w:rFonts w:hint="eastAsia"/>
          <w:b/>
          <w:bCs/>
          <w:color w:val="0070C0"/>
          <w:sz w:val="24"/>
          <w:szCs w:val="24"/>
          <w:lang w:eastAsia="zh-CN"/>
        </w:rPr>
        <w:t>】</w:t>
      </w:r>
      <w:r>
        <w:rPr>
          <w:rFonts w:hint="eastAsia"/>
          <w:sz w:val="24"/>
          <w:szCs w:val="24"/>
          <w:lang w:val="en-US" w:eastAsia="zh-CN"/>
        </w:rPr>
        <w:t>市政工程类相关人员</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lang w:val="en-US" w:eastAsia="zh-CN"/>
        </w:rPr>
      </w:pPr>
      <w:r>
        <w:rPr>
          <w:rFonts w:hint="eastAsia"/>
          <w:b/>
          <w:bCs/>
          <w:color w:val="0070C0"/>
          <w:sz w:val="24"/>
          <w:szCs w:val="24"/>
          <w:lang w:val="en-US" w:eastAsia="zh-CN"/>
        </w:rPr>
        <w:t>【课程时长】</w:t>
      </w:r>
      <w:r>
        <w:rPr>
          <w:rFonts w:hint="eastAsia"/>
          <w:sz w:val="24"/>
          <w:szCs w:val="24"/>
          <w:lang w:val="en-US" w:eastAsia="zh-CN"/>
        </w:rPr>
        <w:t>1天（6h）</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b/>
          <w:bCs/>
          <w:color w:val="0070C0"/>
          <w:sz w:val="24"/>
          <w:szCs w:val="24"/>
          <w:lang w:val="en-US" w:eastAsia="zh-CN"/>
        </w:rPr>
      </w:pPr>
      <w:r>
        <w:rPr>
          <w:rFonts w:hint="eastAsia"/>
          <w:b/>
          <w:bCs/>
          <w:color w:val="0070C0"/>
          <w:sz w:val="24"/>
          <w:szCs w:val="24"/>
          <w:lang w:val="en-US" w:eastAsia="zh-CN"/>
        </w:rPr>
        <w:t>【课程大纲】</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b/>
          <w:bCs/>
          <w:color w:val="0070C0"/>
          <w:sz w:val="24"/>
          <w:szCs w:val="24"/>
        </w:rPr>
      </w:pPr>
      <w:r>
        <w:rPr>
          <w:rFonts w:hint="eastAsia"/>
          <w:b/>
          <w:bCs/>
          <w:color w:val="0070C0"/>
          <w:sz w:val="24"/>
          <w:szCs w:val="24"/>
        </w:rPr>
        <w:t>一、理解市政公用行业数字化转型的必要性</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1. 数字化转型在市政公用行业中的定义与价值</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2. 市政地下管网行业面临的挑战与机遇</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3. 数字化转型如何助力燃气及地下管网行业升级</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b/>
          <w:bCs/>
          <w:color w:val="0070C0"/>
          <w:sz w:val="24"/>
          <w:szCs w:val="24"/>
        </w:rPr>
      </w:pPr>
      <w:r>
        <w:rPr>
          <w:rFonts w:hint="eastAsia"/>
          <w:b/>
          <w:bCs/>
          <w:color w:val="0070C0"/>
          <w:sz w:val="24"/>
          <w:szCs w:val="24"/>
        </w:rPr>
        <w:t>二、数字化转型在燃气及市政地下管网行业的核心应用</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1. 数字化技术如何重塑燃气及市政地下管网业务模式</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2. 利用大数据和云计算优化资源配置和运营管理</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3. 智能化监控系统在确保地下管网安全运行中的应用</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4. 通过数字化转型提升服务质量和客户满意度</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b/>
          <w:bCs/>
          <w:color w:val="0070C0"/>
          <w:sz w:val="24"/>
          <w:szCs w:val="24"/>
        </w:rPr>
      </w:pPr>
      <w:r>
        <w:rPr>
          <w:rFonts w:hint="eastAsia"/>
          <w:b/>
          <w:bCs/>
          <w:color w:val="0070C0"/>
          <w:sz w:val="24"/>
          <w:szCs w:val="24"/>
        </w:rPr>
        <w:t>三、数字化技术在燃气及市政地下管网的具体应用</w:t>
      </w:r>
      <w:r>
        <w:rPr>
          <w:rFonts w:hint="eastAsia"/>
          <w:b/>
          <w:bCs/>
          <w:color w:val="0070C0"/>
          <w:sz w:val="24"/>
          <w:szCs w:val="24"/>
          <w:lang w:val="en-US" w:eastAsia="zh-CN"/>
        </w:rPr>
        <w:t>场景</w:t>
      </w:r>
      <w:r>
        <w:rPr>
          <w:rFonts w:hint="eastAsia"/>
          <w:b/>
          <w:bCs/>
          <w:color w:val="0070C0"/>
          <w:sz w:val="24"/>
          <w:szCs w:val="24"/>
        </w:rPr>
        <w:t>解析</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b/>
          <w:bCs/>
          <w:sz w:val="24"/>
          <w:szCs w:val="24"/>
          <w:lang w:eastAsia="zh-CN"/>
        </w:rPr>
      </w:pPr>
      <w:r>
        <w:rPr>
          <w:rFonts w:hint="eastAsia"/>
          <w:b/>
          <w:bCs/>
          <w:sz w:val="24"/>
          <w:szCs w:val="24"/>
          <w:lang w:eastAsia="zh-CN"/>
        </w:rPr>
        <w:t>（</w:t>
      </w:r>
      <w:r>
        <w:rPr>
          <w:rFonts w:hint="eastAsia"/>
          <w:b/>
          <w:bCs/>
          <w:sz w:val="24"/>
          <w:szCs w:val="24"/>
          <w:lang w:val="en-US" w:eastAsia="zh-CN"/>
        </w:rPr>
        <w:t>一</w:t>
      </w:r>
      <w:r>
        <w:rPr>
          <w:rFonts w:hint="eastAsia"/>
          <w:b/>
          <w:bCs/>
          <w:sz w:val="24"/>
          <w:szCs w:val="24"/>
          <w:lang w:eastAsia="zh-CN"/>
        </w:rPr>
        <w:t>）燃气方面</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lang w:eastAsia="zh-CN"/>
        </w:rPr>
      </w:pPr>
      <w:r>
        <w:rPr>
          <w:rFonts w:hint="eastAsia"/>
          <w:sz w:val="24"/>
          <w:szCs w:val="24"/>
          <w:lang w:eastAsia="zh-CN"/>
        </w:rPr>
        <w:t>1. 智能监控与安全预警：</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利用物联网技术进行远程监控，实时监测用户燃气使用情况。</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通过传感器和监控设备实现故障预警，及时发现并处理设备问题。</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引入智能安全预警系统，包括燃气泄漏检测、管道异常识别等。</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lang w:eastAsia="zh-CN"/>
        </w:rPr>
      </w:pPr>
      <w:r>
        <w:rPr>
          <w:rFonts w:hint="eastAsia"/>
          <w:sz w:val="24"/>
          <w:szCs w:val="24"/>
          <w:lang w:eastAsia="zh-CN"/>
        </w:rPr>
        <w:t>2. 智能计量与抄表：</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采用智能计量系统，实现用户燃气使用的准确和高效计量。</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应用远程抄表系统，自动化管理用户抄表过程，提高效率和准确性。</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lang w:eastAsia="zh-CN"/>
        </w:rPr>
      </w:pPr>
      <w:r>
        <w:rPr>
          <w:rFonts w:hint="eastAsia"/>
          <w:sz w:val="24"/>
          <w:szCs w:val="24"/>
          <w:lang w:eastAsia="zh-CN"/>
        </w:rPr>
        <w:t>3. 客户服务与数据分析：</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利用大数据平台对用户数据进行深入分析，为决策提供支持。</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提供在线查询、缴费、预约等功能的数字化平台和APP，改善用户体验。</w:t>
      </w:r>
    </w:p>
    <w:p>
      <w:pPr>
        <w:keepNext w:val="0"/>
        <w:keepLines w:val="0"/>
        <w:pageBreakBefore w:val="0"/>
        <w:widowControl w:val="0"/>
        <w:numPr>
          <w:ilvl w:val="0"/>
          <w:numId w:val="2"/>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实现客户服务自动化，包括AI聊天机器人和反馈分析系统。</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lang w:eastAsia="zh-CN"/>
        </w:rPr>
      </w:pPr>
      <w:r>
        <w:rPr>
          <w:rFonts w:hint="eastAsia"/>
          <w:sz w:val="24"/>
          <w:szCs w:val="24"/>
          <w:lang w:eastAsia="zh-CN"/>
        </w:rPr>
        <w:t>4. 供应链与资源管理：</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应用物联网技术追踪燃气运输，优化物流配送路线。</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利用数据分析预测燃气需求，智能管理库存水平。</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与供应商实现数字化协同，提高采购透明度和效率。</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b/>
          <w:bCs/>
          <w:sz w:val="24"/>
          <w:szCs w:val="24"/>
          <w:lang w:eastAsia="zh-CN"/>
        </w:rPr>
      </w:pPr>
      <w:r>
        <w:rPr>
          <w:rFonts w:hint="eastAsia"/>
          <w:b/>
          <w:bCs/>
          <w:sz w:val="24"/>
          <w:szCs w:val="24"/>
          <w:lang w:eastAsia="zh-CN"/>
        </w:rPr>
        <w:t>（</w:t>
      </w:r>
      <w:r>
        <w:rPr>
          <w:rFonts w:hint="eastAsia"/>
          <w:b/>
          <w:bCs/>
          <w:sz w:val="24"/>
          <w:szCs w:val="24"/>
          <w:lang w:val="en-US" w:eastAsia="zh-CN"/>
        </w:rPr>
        <w:t>二</w:t>
      </w:r>
      <w:r>
        <w:rPr>
          <w:rFonts w:hint="eastAsia"/>
          <w:b/>
          <w:bCs/>
          <w:sz w:val="24"/>
          <w:szCs w:val="24"/>
          <w:lang w:eastAsia="zh-CN"/>
        </w:rPr>
        <w:t>）排水方面：</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lang w:eastAsia="zh-CN"/>
        </w:rPr>
      </w:pPr>
      <w:r>
        <w:rPr>
          <w:rFonts w:hint="eastAsia"/>
          <w:sz w:val="24"/>
          <w:szCs w:val="24"/>
          <w:lang w:eastAsia="zh-CN"/>
        </w:rPr>
        <w:t>1. 水质监测与环境保护：</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实时监测排水中的污染物，确保水质符合标准。</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应用大数据分析识别污染源，并采取相应治理措施。</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为政策制定提供数据支持，加强水环境保护。</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lang w:eastAsia="zh-CN"/>
        </w:rPr>
      </w:pPr>
      <w:r>
        <w:rPr>
          <w:rFonts w:hint="eastAsia"/>
          <w:sz w:val="24"/>
          <w:szCs w:val="24"/>
          <w:lang w:eastAsia="zh-CN"/>
        </w:rPr>
        <w:t>2. 智能水务管理与资源配置：</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集成多个系统实现水资源的全面监控和管理。</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通过数据分析优化水资源分配，提高用水效率。</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利用AI技术进行水务设施的预防性维护。</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lang w:eastAsia="zh-CN"/>
        </w:rPr>
      </w:pPr>
      <w:r>
        <w:rPr>
          <w:rFonts w:hint="eastAsia"/>
          <w:sz w:val="24"/>
          <w:szCs w:val="24"/>
          <w:lang w:eastAsia="zh-CN"/>
        </w:rPr>
        <w:t>3. 应急响应与灾害管理：</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快速定位故障点并调配资源进行修复，在紧急情况下及时响应。</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实现多部门数据共享，协调应对突发事件。</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利用无人机和遥感技术评估灾害，支持灾后重建。</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b/>
          <w:bCs/>
          <w:sz w:val="24"/>
          <w:szCs w:val="24"/>
          <w:lang w:eastAsia="zh-CN"/>
        </w:rPr>
      </w:pPr>
      <w:r>
        <w:rPr>
          <w:rFonts w:hint="eastAsia"/>
          <w:b/>
          <w:bCs/>
          <w:sz w:val="24"/>
          <w:szCs w:val="24"/>
          <w:lang w:eastAsia="zh-CN"/>
        </w:rPr>
        <w:t>（</w:t>
      </w:r>
      <w:r>
        <w:rPr>
          <w:rFonts w:hint="eastAsia"/>
          <w:b/>
          <w:bCs/>
          <w:sz w:val="24"/>
          <w:szCs w:val="24"/>
          <w:lang w:val="en-US" w:eastAsia="zh-CN"/>
        </w:rPr>
        <w:t>三</w:t>
      </w:r>
      <w:r>
        <w:rPr>
          <w:rFonts w:hint="eastAsia"/>
          <w:b/>
          <w:bCs/>
          <w:sz w:val="24"/>
          <w:szCs w:val="24"/>
          <w:lang w:eastAsia="zh-CN"/>
        </w:rPr>
        <w:t>）供气方面：</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lang w:eastAsia="zh-CN"/>
        </w:rPr>
      </w:pPr>
      <w:r>
        <w:rPr>
          <w:rFonts w:hint="eastAsia"/>
          <w:sz w:val="24"/>
          <w:szCs w:val="24"/>
          <w:lang w:eastAsia="zh-CN"/>
        </w:rPr>
        <w:t>1. 智能管网与安全管理：</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应用GIS技术全面监控和管理供气管网。</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预测管网故障风险，进行预防性维护。</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优化管网资源配置，提高供气效率。</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lang w:eastAsia="zh-CN"/>
        </w:rPr>
      </w:pPr>
      <w:r>
        <w:rPr>
          <w:rFonts w:hint="eastAsia"/>
          <w:sz w:val="24"/>
          <w:szCs w:val="24"/>
          <w:lang w:eastAsia="zh-CN"/>
        </w:rPr>
        <w:t>2. 能源管理与节能减排：</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实时监测供气过程中的能源消耗，提出节能建议。</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通过智能算法优化供气计划，降低运营成本。</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提供个性化的能源消费报告，促进用户节能减排。</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lang w:eastAsia="zh-CN"/>
        </w:rPr>
      </w:pPr>
      <w:r>
        <w:rPr>
          <w:rFonts w:hint="eastAsia"/>
          <w:sz w:val="24"/>
          <w:szCs w:val="24"/>
          <w:lang w:eastAsia="zh-CN"/>
        </w:rPr>
        <w:t>3. 协同办公与信息共享：</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建立数字化协同办公平台，提高工作效率。</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与政府部门和其他机构实现信息共享和协同工作。</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利用云计算技术确保数据备份和业务连续性。</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b/>
          <w:bCs/>
          <w:sz w:val="24"/>
          <w:szCs w:val="24"/>
          <w:lang w:eastAsia="zh-CN"/>
        </w:rPr>
      </w:pPr>
      <w:r>
        <w:rPr>
          <w:rFonts w:hint="eastAsia"/>
          <w:b/>
          <w:bCs/>
          <w:sz w:val="24"/>
          <w:szCs w:val="24"/>
          <w:lang w:eastAsia="zh-CN"/>
        </w:rPr>
        <w:t>（</w:t>
      </w:r>
      <w:r>
        <w:rPr>
          <w:rFonts w:hint="eastAsia"/>
          <w:b/>
          <w:bCs/>
          <w:sz w:val="24"/>
          <w:szCs w:val="24"/>
          <w:lang w:val="en-US" w:eastAsia="zh-CN"/>
        </w:rPr>
        <w:t>四</w:t>
      </w:r>
      <w:r>
        <w:rPr>
          <w:rFonts w:hint="eastAsia"/>
          <w:b/>
          <w:bCs/>
          <w:sz w:val="24"/>
          <w:szCs w:val="24"/>
          <w:lang w:eastAsia="zh-CN"/>
        </w:rPr>
        <w:t>） 供热方面：</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lang w:eastAsia="zh-CN"/>
        </w:rPr>
      </w:pPr>
      <w:r>
        <w:rPr>
          <w:rFonts w:hint="eastAsia"/>
          <w:sz w:val="24"/>
          <w:szCs w:val="24"/>
          <w:lang w:eastAsia="zh-CN"/>
        </w:rPr>
        <w:t>1. 智能能耗监测与优化：</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实时监测供热系统的能耗，及时调整异常。</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评估供热系统能效，提出改进建议。</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提供用户能耗报告和节能建议。</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lang w:eastAsia="zh-CN"/>
        </w:rPr>
      </w:pPr>
      <w:r>
        <w:rPr>
          <w:rFonts w:hint="eastAsia"/>
          <w:sz w:val="24"/>
          <w:szCs w:val="24"/>
          <w:lang w:eastAsia="zh-CN"/>
        </w:rPr>
        <w:t>2. 热网平衡与供热质量：</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利用数据分析调整热网平衡，确保供热质量均衡。</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优化供热网络布局，提高供热效率。</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实现远程调试供热设备，精准供热。</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lang w:eastAsia="zh-CN"/>
        </w:rPr>
      </w:pPr>
      <w:r>
        <w:rPr>
          <w:rFonts w:hint="eastAsia"/>
          <w:sz w:val="24"/>
          <w:szCs w:val="24"/>
          <w:lang w:eastAsia="zh-CN"/>
        </w:rPr>
        <w:t>3. 碳排放管理与可持续发展：</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监测供热过程中的碳排放，助力碳中和目标。</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lang w:eastAsia="zh-CN"/>
        </w:rPr>
      </w:pPr>
      <w:r>
        <w:rPr>
          <w:rFonts w:hint="eastAsia"/>
          <w:sz w:val="24"/>
          <w:szCs w:val="24"/>
          <w:lang w:eastAsia="zh-CN"/>
        </w:rPr>
        <w:t>探索可再生能源供热，降低碳排放强度。</w:t>
      </w:r>
    </w:p>
    <w:p>
      <w:pPr>
        <w:keepNext w:val="0"/>
        <w:keepLines w:val="0"/>
        <w:pageBreakBefore w:val="0"/>
        <w:widowControl w:val="0"/>
        <w:numPr>
          <w:ilvl w:val="0"/>
          <w:numId w:val="3"/>
        </w:numPr>
        <w:kinsoku/>
        <w:wordWrap/>
        <w:overflowPunct/>
        <w:topLinePunct w:val="0"/>
        <w:autoSpaceDE/>
        <w:autoSpaceDN/>
        <w:bidi w:val="0"/>
        <w:adjustRightInd/>
        <w:snapToGrid/>
        <w:spacing w:line="500" w:lineRule="exact"/>
        <w:ind w:left="420" w:leftChars="0" w:hanging="420" w:firstLineChars="0"/>
        <w:textAlignment w:val="auto"/>
        <w:rPr>
          <w:rFonts w:hint="eastAsia"/>
          <w:sz w:val="24"/>
          <w:szCs w:val="24"/>
        </w:rPr>
      </w:pPr>
      <w:r>
        <w:rPr>
          <w:rFonts w:hint="eastAsia"/>
          <w:sz w:val="24"/>
          <w:szCs w:val="24"/>
          <w:lang w:eastAsia="zh-CN"/>
        </w:rPr>
        <w:t>推动绿色供热的创新和发展，提高可持续性。</w:t>
      </w:r>
    </w:p>
    <w:p>
      <w:pPr>
        <w:keepNext w:val="0"/>
        <w:keepLines w:val="0"/>
        <w:pageBreakBefore w:val="0"/>
        <w:widowControl w:val="0"/>
        <w:numPr>
          <w:numId w:val="0"/>
        </w:numPr>
        <w:kinsoku/>
        <w:wordWrap/>
        <w:overflowPunct/>
        <w:topLinePunct w:val="0"/>
        <w:autoSpaceDE/>
        <w:autoSpaceDN/>
        <w:bidi w:val="0"/>
        <w:adjustRightInd/>
        <w:snapToGrid/>
        <w:spacing w:line="500" w:lineRule="exact"/>
        <w:ind w:leftChars="0"/>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b/>
          <w:bCs/>
          <w:color w:val="0070C0"/>
          <w:sz w:val="24"/>
          <w:szCs w:val="24"/>
        </w:rPr>
      </w:pPr>
      <w:r>
        <w:rPr>
          <w:rFonts w:hint="eastAsia"/>
          <w:b/>
          <w:bCs/>
          <w:color w:val="0070C0"/>
          <w:sz w:val="24"/>
          <w:szCs w:val="24"/>
        </w:rPr>
        <w:t>四、数字化转型在燃气及市政地下管网的实施路径</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1. 面临的挑战：技术集成、数据安全和标准统一等问题</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2. 制定数字化转型战略规划和顶层设计</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3. 搭建适应行业特点的数字化平台与基础设施</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4. 实现数据的采集、整合与分析利用</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5. 推动业务流程优化和管理模式创新</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b/>
          <w:bCs/>
          <w:color w:val="0070C0"/>
          <w:sz w:val="24"/>
          <w:szCs w:val="24"/>
        </w:rPr>
      </w:pPr>
      <w:r>
        <w:rPr>
          <w:rFonts w:hint="eastAsia"/>
          <w:b/>
          <w:bCs/>
          <w:color w:val="0070C0"/>
          <w:sz w:val="24"/>
          <w:szCs w:val="24"/>
        </w:rPr>
        <w:t>五、组织变革与项目管理新模式</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1. 数字化转型带来的组织结构调整和角色变化</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2. 建立以数据驱动的项目管理和决策机制</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3. 探索市政地下管网行业的项目管理新模式</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4. 培育数字化人才队伍，提升整体数字化能力</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【案例研究】</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1. 国内外燃气公司数字化转型成功案例分享</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2. 市政地下管网数字化管理系统实施案例</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3. 智能化供热、供气系统的实际应用案例分析</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r>
        <w:rPr>
          <w:rFonts w:hint="eastAsia"/>
          <w:sz w:val="24"/>
          <w:szCs w:val="24"/>
        </w:rPr>
        <w:t>4. 给排水数字化监控与优化调度的实践案例</w:t>
      </w:r>
    </w:p>
    <w:p>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兰亭黑简体">
    <w:panose1 w:val="02000000000000000000"/>
    <w:charset w:val="86"/>
    <w:family w:val="auto"/>
    <w:pitch w:val="default"/>
    <w:sig w:usb0="A00002BF" w:usb1="184F6CFA" w:usb2="00000012" w:usb3="00000000" w:csb0="00040001" w:csb1="00000000"/>
  </w:font>
  <w:font w:name="方正兰亭细黑简体">
    <w:panose1 w:val="02000500000000000000"/>
    <w:charset w:val="86"/>
    <w:family w:val="auto"/>
    <w:pitch w:val="default"/>
    <w:sig w:usb0="A00002BF" w:usb1="184F6CFA" w:usb2="00000012" w:usb3="00000000" w:csb0="00040001" w:csb1="00000000"/>
  </w:font>
  <w:font w:name="Segoe UI">
    <w:panose1 w:val="020B0502040204020203"/>
    <w:charset w:val="00"/>
    <w:family w:val="auto"/>
    <w:pitch w:val="default"/>
    <w:sig w:usb0="E4002EFF" w:usb1="C000E47F" w:usb2="00000009" w:usb3="00000000" w:csb0="200001FF" w:csb1="00000000"/>
  </w:font>
  <w:font w:name="PingFang-SC-Regular">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ymbol">
    <w:panose1 w:val="050501020107060205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D088BA"/>
    <w:multiLevelType w:val="multilevel"/>
    <w:tmpl w:val="D4D088BA"/>
    <w:lvl w:ilvl="0" w:tentative="0">
      <w:start w:val="1"/>
      <w:numFmt w:val="bullet"/>
      <w:lvlText w:val=""/>
      <w:lvlJc w:val="left"/>
      <w:pPr>
        <w:ind w:left="420" w:hanging="420"/>
      </w:pPr>
      <w:rPr>
        <w:rFonts w:hint="default" w:ascii="Wingdings" w:hAnsi="Wingdings"/>
      </w:rPr>
    </w:lvl>
    <w:lvl w:ilvl="1" w:tentative="0">
      <w:start w:val="1"/>
      <w:numFmt w:val="bullet"/>
      <w:lvlText w:val=""/>
      <w:lvlJc w:val="left"/>
      <w:pPr>
        <w:tabs>
          <w:tab w:val="left" w:pos="840"/>
        </w:tabs>
        <w:ind w:left="840" w:leftChars="0" w:hanging="420" w:firstLineChars="0"/>
      </w:pPr>
      <w:rPr>
        <w:rFonts w:hint="default" w:ascii="Wingdings" w:hAnsi="Wingdings"/>
      </w:rPr>
    </w:lvl>
    <w:lvl w:ilvl="2" w:tentative="0">
      <w:start w:val="1"/>
      <w:numFmt w:val="bullet"/>
      <w:lvlText w:val=""/>
      <w:lvlJc w:val="left"/>
      <w:pPr>
        <w:tabs>
          <w:tab w:val="left" w:pos="1260"/>
        </w:tabs>
        <w:ind w:left="1260" w:leftChars="0" w:hanging="420" w:firstLineChars="0"/>
      </w:pPr>
      <w:rPr>
        <w:rFonts w:hint="default" w:ascii="Wingdings" w:hAnsi="Wingdings"/>
      </w:rPr>
    </w:lvl>
    <w:lvl w:ilvl="3" w:tentative="0">
      <w:start w:val="1"/>
      <w:numFmt w:val="bullet"/>
      <w:lvlText w:val=""/>
      <w:lvlJc w:val="left"/>
      <w:pPr>
        <w:tabs>
          <w:tab w:val="left" w:pos="1680"/>
        </w:tabs>
        <w:ind w:left="1680" w:leftChars="0" w:hanging="420" w:firstLineChars="0"/>
      </w:pPr>
      <w:rPr>
        <w:rFonts w:hint="default" w:ascii="Wingdings" w:hAnsi="Wingdings"/>
      </w:rPr>
    </w:lvl>
    <w:lvl w:ilvl="4" w:tentative="0">
      <w:start w:val="1"/>
      <w:numFmt w:val="bullet"/>
      <w:lvlText w:val=""/>
      <w:lvlJc w:val="left"/>
      <w:pPr>
        <w:tabs>
          <w:tab w:val="left" w:pos="2100"/>
        </w:tabs>
        <w:ind w:left="2100" w:leftChars="0" w:hanging="420" w:firstLineChars="0"/>
      </w:pPr>
      <w:rPr>
        <w:rFonts w:hint="default" w:ascii="Wingdings" w:hAnsi="Wingdings"/>
      </w:rPr>
    </w:lvl>
    <w:lvl w:ilvl="5" w:tentative="0">
      <w:start w:val="1"/>
      <w:numFmt w:val="bullet"/>
      <w:lvlText w:val=""/>
      <w:lvlJc w:val="left"/>
      <w:pPr>
        <w:tabs>
          <w:tab w:val="left" w:pos="2520"/>
        </w:tabs>
        <w:ind w:left="2520" w:leftChars="0" w:hanging="420" w:firstLineChars="0"/>
      </w:pPr>
      <w:rPr>
        <w:rFonts w:hint="default" w:ascii="Wingdings" w:hAnsi="Wingdings"/>
      </w:rPr>
    </w:lvl>
    <w:lvl w:ilvl="6" w:tentative="0">
      <w:start w:val="1"/>
      <w:numFmt w:val="bullet"/>
      <w:lvlText w:val=""/>
      <w:lvlJc w:val="left"/>
      <w:pPr>
        <w:tabs>
          <w:tab w:val="left" w:pos="2940"/>
        </w:tabs>
        <w:ind w:left="2940" w:leftChars="0" w:hanging="420" w:firstLineChars="0"/>
      </w:pPr>
      <w:rPr>
        <w:rFonts w:hint="default" w:ascii="Wingdings" w:hAnsi="Wingdings"/>
      </w:rPr>
    </w:lvl>
    <w:lvl w:ilvl="7" w:tentative="0">
      <w:start w:val="1"/>
      <w:numFmt w:val="bullet"/>
      <w:lvlText w:val=""/>
      <w:lvlJc w:val="left"/>
      <w:pPr>
        <w:tabs>
          <w:tab w:val="left" w:pos="3360"/>
        </w:tabs>
        <w:ind w:left="3360" w:leftChars="0" w:hanging="420" w:firstLineChars="0"/>
      </w:pPr>
      <w:rPr>
        <w:rFonts w:hint="default" w:ascii="Wingdings" w:hAnsi="Wingdings"/>
      </w:rPr>
    </w:lvl>
    <w:lvl w:ilvl="8" w:tentative="0">
      <w:start w:val="1"/>
      <w:numFmt w:val="bullet"/>
      <w:lvlText w:val=""/>
      <w:lvlJc w:val="left"/>
      <w:pPr>
        <w:tabs>
          <w:tab w:val="left" w:pos="3780"/>
        </w:tabs>
        <w:ind w:left="3780" w:leftChars="0" w:hanging="420" w:firstLineChars="0"/>
      </w:pPr>
      <w:rPr>
        <w:rFonts w:hint="default" w:ascii="Wingdings" w:hAnsi="Wingdings"/>
      </w:rPr>
    </w:lvl>
  </w:abstractNum>
  <w:abstractNum w:abstractNumId="1">
    <w:nsid w:val="F27AAFD4"/>
    <w:multiLevelType w:val="multilevel"/>
    <w:tmpl w:val="F27AAFD4"/>
    <w:lvl w:ilvl="0" w:tentative="0">
      <w:start w:val="1"/>
      <w:numFmt w:val="decimal"/>
      <w:lvlText w:val="%1."/>
      <w:lvlJc w:val="left"/>
      <w:pPr>
        <w:tabs>
          <w:tab w:val="left" w:pos="1140"/>
        </w:tabs>
        <w:ind w:left="1140" w:hanging="360"/>
      </w:pPr>
      <w:rPr>
        <w:sz w:val="24"/>
        <w:szCs w:val="24"/>
      </w:rPr>
    </w:lvl>
    <w:lvl w:ilvl="1" w:tentative="0">
      <w:start w:val="1"/>
      <w:numFmt w:val="decimal"/>
      <w:lvlText w:val="%2."/>
      <w:lvlJc w:val="left"/>
      <w:pPr>
        <w:tabs>
          <w:tab w:val="left" w:pos="1860"/>
        </w:tabs>
        <w:ind w:left="1860" w:hanging="360"/>
      </w:pPr>
      <w:rPr>
        <w:sz w:val="24"/>
        <w:szCs w:val="24"/>
      </w:rPr>
    </w:lvl>
    <w:lvl w:ilvl="2" w:tentative="0">
      <w:start w:val="1"/>
      <w:numFmt w:val="decimal"/>
      <w:lvlText w:val="%3."/>
      <w:lvlJc w:val="left"/>
      <w:pPr>
        <w:tabs>
          <w:tab w:val="left" w:pos="2580"/>
        </w:tabs>
        <w:ind w:left="2580" w:hanging="360"/>
      </w:pPr>
      <w:rPr>
        <w:sz w:val="24"/>
        <w:szCs w:val="24"/>
      </w:rPr>
    </w:lvl>
    <w:lvl w:ilvl="3" w:tentative="0">
      <w:start w:val="1"/>
      <w:numFmt w:val="decimal"/>
      <w:lvlText w:val="%4."/>
      <w:lvlJc w:val="left"/>
      <w:pPr>
        <w:tabs>
          <w:tab w:val="left" w:pos="2937"/>
        </w:tabs>
        <w:ind w:left="3300" w:hanging="360"/>
      </w:pPr>
      <w:rPr>
        <w:sz w:val="24"/>
        <w:szCs w:val="24"/>
      </w:rPr>
    </w:lvl>
    <w:lvl w:ilvl="4" w:tentative="0">
      <w:start w:val="1"/>
      <w:numFmt w:val="decimal"/>
      <w:lvlText w:val="%5."/>
      <w:lvlJc w:val="left"/>
      <w:pPr>
        <w:tabs>
          <w:tab w:val="left" w:pos="3658"/>
        </w:tabs>
        <w:ind w:left="4020" w:hanging="360"/>
      </w:pPr>
      <w:rPr>
        <w:sz w:val="24"/>
        <w:szCs w:val="24"/>
      </w:rPr>
    </w:lvl>
    <w:lvl w:ilvl="5" w:tentative="0">
      <w:start w:val="1"/>
      <w:numFmt w:val="decimal"/>
      <w:lvlText w:val="%6."/>
      <w:lvlJc w:val="left"/>
      <w:pPr>
        <w:tabs>
          <w:tab w:val="left" w:pos="4378"/>
        </w:tabs>
        <w:ind w:left="4740" w:hanging="360"/>
      </w:pPr>
      <w:rPr>
        <w:sz w:val="24"/>
        <w:szCs w:val="24"/>
      </w:rPr>
    </w:lvl>
    <w:lvl w:ilvl="6" w:tentative="0">
      <w:start w:val="1"/>
      <w:numFmt w:val="decimal"/>
      <w:lvlText w:val="%7."/>
      <w:lvlJc w:val="left"/>
      <w:pPr>
        <w:tabs>
          <w:tab w:val="left" w:pos="5098"/>
        </w:tabs>
        <w:ind w:left="5460" w:hanging="360"/>
      </w:pPr>
      <w:rPr>
        <w:sz w:val="24"/>
        <w:szCs w:val="24"/>
      </w:rPr>
    </w:lvl>
    <w:lvl w:ilvl="7" w:tentative="0">
      <w:start w:val="1"/>
      <w:numFmt w:val="decimal"/>
      <w:lvlText w:val="%8."/>
      <w:lvlJc w:val="left"/>
      <w:pPr>
        <w:tabs>
          <w:tab w:val="left" w:pos="5818"/>
        </w:tabs>
        <w:ind w:left="6180" w:hanging="360"/>
      </w:pPr>
      <w:rPr>
        <w:sz w:val="24"/>
        <w:szCs w:val="24"/>
      </w:rPr>
    </w:lvl>
    <w:lvl w:ilvl="8" w:tentative="0">
      <w:start w:val="1"/>
      <w:numFmt w:val="decimal"/>
      <w:lvlText w:val="%9."/>
      <w:lvlJc w:val="left"/>
      <w:pPr>
        <w:tabs>
          <w:tab w:val="left" w:pos="6538"/>
        </w:tabs>
        <w:ind w:left="6900" w:hanging="360"/>
      </w:pPr>
      <w:rPr>
        <w:sz w:val="24"/>
        <w:szCs w:val="24"/>
      </w:rPr>
    </w:lvl>
  </w:abstractNum>
  <w:abstractNum w:abstractNumId="2">
    <w:nsid w:val="F7C6E074"/>
    <w:multiLevelType w:val="singleLevel"/>
    <w:tmpl w:val="F7C6E074"/>
    <w:lvl w:ilvl="0" w:tentative="0">
      <w:start w:val="1"/>
      <w:numFmt w:val="bullet"/>
      <w:lvlText w:val=""/>
      <w:lvlJc w:val="left"/>
      <w:pPr>
        <w:ind w:left="420" w:hanging="420"/>
      </w:pPr>
      <w:rPr>
        <w:rFonts w:hint="default" w:ascii="Wingdings" w:hAnsi="Wingding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23A12E75"/>
    <w:rsid w:val="0C0A7C01"/>
    <w:rsid w:val="12C7685F"/>
    <w:rsid w:val="1368042C"/>
    <w:rsid w:val="17213637"/>
    <w:rsid w:val="23A12E75"/>
    <w:rsid w:val="2CAC21F7"/>
    <w:rsid w:val="49060246"/>
    <w:rsid w:val="5A47583A"/>
    <w:rsid w:val="67F66F8E"/>
    <w:rsid w:val="6CEC33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微软雅黑" w:hAnsi="微软雅黑" w:eastAsia="微软雅黑" w:cs="微软雅黑"/>
      <w:kern w:val="2"/>
      <w:sz w:val="21"/>
      <w:szCs w:val="24"/>
      <w:lang w:val="en-US" w:eastAsia="zh-CN" w:bidi="ar-SA"/>
    </w:rPr>
  </w:style>
  <w:style w:type="character" w:default="1" w:styleId="4">
    <w:name w:val="Default Paragraph Font"/>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Normal (Web)"/>
    <w:basedOn w:val="1"/>
    <w:uiPriority w:val="0"/>
    <w:rPr>
      <w:sz w:val="24"/>
    </w:rPr>
  </w:style>
  <w:style w:type="character" w:styleId="5">
    <w:name w:val="Strong"/>
    <w:basedOn w:val="4"/>
    <w:qFormat/>
    <w:uiPriority w:val="0"/>
    <w:rPr>
      <w:b/>
    </w:rPr>
  </w:style>
  <w:style w:type="paragraph" w:customStyle="1" w:styleId="6">
    <w:name w:val="一级标题"/>
    <w:basedOn w:val="1"/>
    <w:autoRedefine/>
    <w:qFormat/>
    <w:uiPriority w:val="0"/>
    <w:rPr>
      <w:rFonts w:eastAsia="方正兰亭黑简体" w:asciiTheme="minorAscii" w:hAnsiTheme="minorAscii"/>
    </w:rPr>
  </w:style>
  <w:style w:type="paragraph" w:customStyle="1" w:styleId="7">
    <w:name w:val="二级标题"/>
    <w:basedOn w:val="1"/>
    <w:autoRedefine/>
    <w:qFormat/>
    <w:uiPriority w:val="0"/>
    <w:pPr>
      <w:spacing w:line="440" w:lineRule="exact"/>
      <w:jc w:val="left"/>
    </w:pPr>
    <w:rPr>
      <w:rFonts w:hint="eastAsia" w:ascii="方正兰亭细黑简体" w:hAnsi="方正兰亭细黑简体" w:eastAsia="方正兰亭细黑简体" w:cs="方正兰亭细黑简体"/>
      <w:sz w:val="18"/>
    </w:rPr>
  </w:style>
  <w:style w:type="paragraph" w:customStyle="1" w:styleId="8">
    <w:name w:val="三级标题"/>
    <w:basedOn w:val="1"/>
    <w:autoRedefine/>
    <w:qFormat/>
    <w:uiPriority w:val="0"/>
    <w:pPr>
      <w:spacing w:line="440" w:lineRule="exact"/>
      <w:jc w:val="left"/>
    </w:pPr>
    <w:rPr>
      <w:rFonts w:hint="eastAsia" w:ascii="方正兰亭细黑简体" w:hAnsi="方正兰亭细黑简体" w:eastAsia="方正兰亭细黑简体" w:cs="方正兰亭细黑简体"/>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18</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2024-04-30T01:45:00Z</dcterms:created>
  <dc:creator>枫影</dc:creator>
  <cp:lastModifiedBy>枫影</cp:lastModifiedBy>
  <dcterms:modified xsi:type="dcterms:W3CDTF">2024-04-30T02:09:21Z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F71B740C89B9415CAF0D3E2A8E8063B5_11</vt:lpwstr>
  </property>
</Properties>
</file>