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大数据赋能化工</w:t>
      </w:r>
      <w:bookmarkStart w:id="0" w:name="_GoBack"/>
      <w:bookmarkEnd w:id="0"/>
      <w:r>
        <w:rPr>
          <w:rFonts w:hint="eastAsia"/>
          <w:b/>
          <w:bCs/>
          <w:sz w:val="32"/>
          <w:szCs w:val="32"/>
          <w:lang w:val="en-US" w:eastAsia="zh-CN"/>
        </w:rPr>
        <w:t>企业数字化转型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课程背景</w:t>
      </w: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随着大数据、人工智能技术的快速发展，</w:t>
      </w:r>
      <w:r>
        <w:rPr>
          <w:rFonts w:hint="eastAsia"/>
          <w:sz w:val="24"/>
          <w:szCs w:val="24"/>
          <w:lang w:val="en-US" w:eastAsia="zh-CN"/>
        </w:rPr>
        <w:t>化工</w:t>
      </w:r>
      <w:r>
        <w:rPr>
          <w:rFonts w:hint="eastAsia"/>
          <w:sz w:val="24"/>
          <w:szCs w:val="24"/>
          <w:lang w:eastAsia="zh-CN"/>
        </w:rPr>
        <w:t>产业智能化变革已成为必然趋势。</w:t>
      </w:r>
      <w:r>
        <w:rPr>
          <w:rFonts w:hint="eastAsia"/>
          <w:sz w:val="24"/>
          <w:szCs w:val="24"/>
          <w:lang w:val="en-US" w:eastAsia="zh-CN"/>
        </w:rPr>
        <w:t>化工产业做</w:t>
      </w:r>
      <w:r>
        <w:rPr>
          <w:rFonts w:hint="eastAsia"/>
          <w:sz w:val="24"/>
          <w:szCs w:val="24"/>
          <w:lang w:eastAsia="zh-CN"/>
        </w:rPr>
        <w:t>为国家重要的基础</w:t>
      </w:r>
      <w:r>
        <w:rPr>
          <w:rFonts w:hint="eastAsia"/>
          <w:sz w:val="24"/>
          <w:szCs w:val="24"/>
          <w:lang w:val="en-US" w:eastAsia="zh-CN"/>
        </w:rPr>
        <w:t>产业</w:t>
      </w:r>
      <w:r>
        <w:rPr>
          <w:rFonts w:hint="eastAsia"/>
          <w:sz w:val="24"/>
          <w:szCs w:val="24"/>
          <w:lang w:eastAsia="zh-CN"/>
        </w:rPr>
        <w:t>，正面临着智能化转型的挑战与机遇。本课程旨在帮助</w:t>
      </w:r>
      <w:r>
        <w:rPr>
          <w:rFonts w:hint="eastAsia"/>
          <w:sz w:val="24"/>
          <w:szCs w:val="24"/>
          <w:lang w:val="en-US" w:eastAsia="zh-CN"/>
        </w:rPr>
        <w:t>化工企业</w:t>
      </w:r>
      <w:r>
        <w:rPr>
          <w:rFonts w:hint="eastAsia"/>
          <w:sz w:val="24"/>
          <w:szCs w:val="24"/>
          <w:lang w:eastAsia="zh-CN"/>
        </w:rPr>
        <w:t>员工深入了解数据赋能产业智能化变革的战略意义，掌握</w:t>
      </w:r>
      <w:r>
        <w:rPr>
          <w:rFonts w:hint="eastAsia"/>
          <w:sz w:val="24"/>
          <w:szCs w:val="24"/>
          <w:lang w:val="en-US" w:eastAsia="zh-CN"/>
        </w:rPr>
        <w:t>大数据与智能技术</w:t>
      </w:r>
      <w:r>
        <w:rPr>
          <w:rFonts w:hint="eastAsia"/>
          <w:sz w:val="24"/>
          <w:szCs w:val="24"/>
          <w:lang w:eastAsia="zh-CN"/>
        </w:rPr>
        <w:t>的相关知识，提升</w:t>
      </w:r>
      <w:r>
        <w:rPr>
          <w:rFonts w:hint="eastAsia"/>
          <w:sz w:val="24"/>
          <w:szCs w:val="24"/>
          <w:lang w:val="en-US" w:eastAsia="zh-CN"/>
        </w:rPr>
        <w:t>化工企业的</w:t>
      </w:r>
      <w:r>
        <w:rPr>
          <w:rFonts w:hint="eastAsia"/>
          <w:sz w:val="24"/>
          <w:szCs w:val="24"/>
          <w:lang w:eastAsia="zh-CN"/>
        </w:rPr>
        <w:t>智能化</w:t>
      </w:r>
      <w:r>
        <w:rPr>
          <w:rFonts w:hint="eastAsia"/>
          <w:sz w:val="24"/>
          <w:szCs w:val="24"/>
          <w:lang w:val="en-US" w:eastAsia="zh-CN"/>
        </w:rPr>
        <w:t>运营</w:t>
      </w:r>
      <w:r>
        <w:rPr>
          <w:rFonts w:hint="eastAsia"/>
          <w:sz w:val="24"/>
          <w:szCs w:val="24"/>
          <w:lang w:eastAsia="zh-CN"/>
        </w:rPr>
        <w:t>水平。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了解数据赋能产业智能化变革的背景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val="en-US" w:eastAsia="zh-CN"/>
        </w:rPr>
        <w:t>掌握AI、大数据、云计算赋能产业智能化变革的基本原理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  <w:lang w:eastAsia="zh-CN"/>
        </w:rPr>
        <w:t xml:space="preserve">. </w:t>
      </w:r>
      <w:r>
        <w:rPr>
          <w:rFonts w:hint="eastAsia"/>
          <w:sz w:val="24"/>
          <w:szCs w:val="24"/>
          <w:lang w:val="en-US" w:eastAsia="zh-CN"/>
        </w:rPr>
        <w:t>了解数字技术新趋势：AI大模型、超算与智算的内容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eastAsia="zh-CN"/>
        </w:rPr>
        <w:t>.</w:t>
      </w:r>
      <w:r>
        <w:rPr>
          <w:rFonts w:hint="eastAsia"/>
          <w:sz w:val="24"/>
          <w:szCs w:val="24"/>
          <w:lang w:val="en-US" w:eastAsia="zh-CN"/>
        </w:rPr>
        <w:t xml:space="preserve"> 了解AI、AI大模型以及超算、智算在化工企业中的应用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【课程对象】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本课程适用于化工企业的各级领导、技术研发人员、运营管理人员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eastAsia="zh-CN"/>
        </w:rPr>
      </w:pP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/>
          <w:sz w:val="24"/>
          <w:szCs w:val="24"/>
          <w:lang w:eastAsia="zh-CN"/>
        </w:rPr>
        <w:t>本课程时长为6小时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数据赋能化工产业数字化转型大背景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中国式现代化建设亟待化工产业升级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化工产业升级的要求：提效降本、绿色安全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产业数字化、智能化变革成为化工产业升级的方向和路径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产业智能化的具体表现（认识产业智能化）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数据赋能产业智能化的基础原理与新技术下的战略机遇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化工产业智能化的核心要求：提效降本、绿色安全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提效降本、绿色安全依托科学决策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科学决策，需要摆脱经验主义，走向大数据决策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大数据决策三大要素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决策模型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实时大数据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强大的算力支持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5.大模型、智算、超算的战略机遇解读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三、数据决策三要素（AI、大数据、算力技术前沿及发展趋势）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1.决策模型——AI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AI的诞生和目的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AI为什么可以抗衡个人经验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AI是如何构建业务模型的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AI在构建业务模型的发展趋势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分析性AI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生成式AI大模型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生成式AI大模型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生成式AI与分析性AI的区别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大模型与GPT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通用AIG与行业大模型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能源电力大模型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2.大数据——大数据技术与数据基座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大数据的4V特征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数据治理——4V特征下，大数据如何才能成为有价值的数据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数据获取、数据传输、数据集成、数据管理、数据可视化、数据挖掘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数据分析，在AI模型的加持下，实现数据结果呈现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数据资产，让数据参与到整个能源电力产业协同效率提升中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数据资产的形成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大数据平台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数据中台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3.算力——云计算、智算、超算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算力的定义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算力与芯片的关系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算力的发展现状及趋势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基础算力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通用型CPU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云计算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边缘计算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智能算力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GPU、FPGA、ASIC等AI芯片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智算主要应用领域：AI训练、语音、图像和视频的处理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超算算力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超级计算机集群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超算主要应用领域：行星模拟、药物分子设计、基因分析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四、AI大模型、数据基座和智算/超算在化工产业中的应用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实施设备全生命周期智能化管理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BIM设计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区块链+大数据采购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BIM+物联网+大数据+AI建造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基于数据分析的智能运行监控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大数据分析的智能故障预警、问题诊断和故障检修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大数据+AI设施设备的报废与重建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数字化产品创新、生产管理、绿色、安全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大数据赋能新品研发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大数据赋能科学的生产计划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大数据提升原材料质检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大数据赋能供应链管理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大数据精准工艺控制，提升产品品质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大数据赋能做好进度控制、成本控制和资源投入控制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大数据赋能生产安全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大数据赋能绿色生产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数字化营销与服务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大数据洞察市场变化与客户动态需求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大数据做好精准营销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大数据提升客户体验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大数据优化渠道管理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智慧化经营管理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精细化经营管理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基于RPA的管理流程自动化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财务风控的智慧化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五、企业落地要领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数据赋能产业智能化变革的关键要素</w:t>
      </w:r>
    </w:p>
    <w:p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战略重视</w:t>
      </w:r>
    </w:p>
    <w:p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相关的推进部门或小组</w:t>
      </w:r>
    </w:p>
    <w:p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相关资源：人才、资金和技术</w:t>
      </w:r>
    </w:p>
    <w:p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基础支撑体系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人才支撑：项目团队与项目小组</w:t>
      </w:r>
    </w:p>
    <w:p>
      <w:pPr>
        <w:keepNext w:val="0"/>
        <w:keepLines w:val="0"/>
        <w:pageBreakBefore w:val="0"/>
        <w:widowControl w:val="0"/>
        <w:numPr>
          <w:ilvl w:val="0"/>
          <w:numId w:val="2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技术支持：搭建整体数智化技术基座</w:t>
      </w:r>
    </w:p>
    <w:p>
      <w:pPr>
        <w:keepNext w:val="0"/>
        <w:keepLines w:val="0"/>
        <w:pageBreakBefore w:val="0"/>
        <w:widowControl w:val="0"/>
        <w:numPr>
          <w:ilvl w:val="0"/>
          <w:numId w:val="2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项目管理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技术支持的主要核心工作</w:t>
      </w: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整体中台系统的搭建</w:t>
      </w: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一体化大数据平台和数据资产管理平台建设</w:t>
      </w: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强化技术中台AI和数据中台的建设</w:t>
      </w:r>
    </w:p>
    <w:p>
      <w:pPr>
        <w:keepNext w:val="0"/>
        <w:keepLines w:val="0"/>
        <w:pageBreakBefore w:val="0"/>
        <w:widowControl w:val="0"/>
        <w:numPr>
          <w:ilvl w:val="0"/>
          <w:numId w:val="2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·AI大模型MaaS和Daas的应用</w:t>
      </w:r>
    </w:p>
    <w:p>
      <w:pPr>
        <w:keepNext w:val="0"/>
        <w:keepLines w:val="0"/>
        <w:pageBreakBefore w:val="0"/>
        <w:widowControl w:val="0"/>
        <w:numPr>
          <w:ilvl w:val="0"/>
          <w:numId w:val="2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创新组织文化，鼓励创新性应用的落地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创新整体组织文化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进行组织架构变革</w:t>
      </w:r>
    </w:p>
    <w:p>
      <w:pPr>
        <w:keepNext w:val="0"/>
        <w:keepLines w:val="0"/>
        <w:pageBreakBefore w:val="0"/>
        <w:widowControl w:val="0"/>
        <w:numPr>
          <w:ilvl w:val="0"/>
          <w:numId w:val="2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以项目为抓手，展开应用，实现产业智能化升级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30457F"/>
    <w:multiLevelType w:val="singleLevel"/>
    <w:tmpl w:val="8B30457F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78950F3"/>
    <w:multiLevelType w:val="singleLevel"/>
    <w:tmpl w:val="978950F3"/>
    <w:lvl w:ilvl="0" w:tentative="0">
      <w:start w:val="1"/>
      <w:numFmt w:val="decimal"/>
      <w:suff w:val="nothing"/>
      <w:lvlText w:val="（%1）"/>
      <w:lvlJc w:val="left"/>
      <w:rPr>
        <w:rFonts w:hint="default"/>
        <w:b w:val="0"/>
        <w:bCs w:val="0"/>
      </w:rPr>
    </w:lvl>
  </w:abstractNum>
  <w:abstractNum w:abstractNumId="2">
    <w:nsid w:val="A7E16E5D"/>
    <w:multiLevelType w:val="singleLevel"/>
    <w:tmpl w:val="A7E16E5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B15DA6AC"/>
    <w:multiLevelType w:val="singleLevel"/>
    <w:tmpl w:val="B15DA6AC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BCCEE03B"/>
    <w:multiLevelType w:val="singleLevel"/>
    <w:tmpl w:val="BCCEE0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DEE69B93"/>
    <w:multiLevelType w:val="singleLevel"/>
    <w:tmpl w:val="DEE69B9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6">
    <w:nsid w:val="F771CA48"/>
    <w:multiLevelType w:val="singleLevel"/>
    <w:tmpl w:val="F771CA4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7">
    <w:nsid w:val="FDC8D42A"/>
    <w:multiLevelType w:val="singleLevel"/>
    <w:tmpl w:val="FDC8D42A"/>
    <w:lvl w:ilvl="0" w:tentative="0">
      <w:start w:val="1"/>
      <w:numFmt w:val="decimal"/>
      <w:suff w:val="nothing"/>
      <w:lvlText w:val="（%1）"/>
      <w:lvlJc w:val="left"/>
    </w:lvl>
  </w:abstractNum>
  <w:abstractNum w:abstractNumId="8">
    <w:nsid w:val="01302E49"/>
    <w:multiLevelType w:val="singleLevel"/>
    <w:tmpl w:val="01302E4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9">
    <w:nsid w:val="03525588"/>
    <w:multiLevelType w:val="singleLevel"/>
    <w:tmpl w:val="03525588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04ED7D08"/>
    <w:multiLevelType w:val="singleLevel"/>
    <w:tmpl w:val="04ED7D08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189A5912"/>
    <w:multiLevelType w:val="singleLevel"/>
    <w:tmpl w:val="189A5912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1A884703"/>
    <w:multiLevelType w:val="singleLevel"/>
    <w:tmpl w:val="1A884703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3">
    <w:nsid w:val="25A4ECE8"/>
    <w:multiLevelType w:val="singleLevel"/>
    <w:tmpl w:val="25A4ECE8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4">
    <w:nsid w:val="25CFE0ED"/>
    <w:multiLevelType w:val="singleLevel"/>
    <w:tmpl w:val="25CFE0ED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5">
    <w:nsid w:val="347FE226"/>
    <w:multiLevelType w:val="singleLevel"/>
    <w:tmpl w:val="347FE22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6">
    <w:nsid w:val="3772B847"/>
    <w:multiLevelType w:val="singleLevel"/>
    <w:tmpl w:val="3772B847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7">
    <w:nsid w:val="440D5DDB"/>
    <w:multiLevelType w:val="singleLevel"/>
    <w:tmpl w:val="440D5DDB"/>
    <w:lvl w:ilvl="0" w:tentative="0">
      <w:start w:val="1"/>
      <w:numFmt w:val="decimal"/>
      <w:suff w:val="nothing"/>
      <w:lvlText w:val="（%1）"/>
      <w:lvlJc w:val="left"/>
    </w:lvl>
  </w:abstractNum>
  <w:abstractNum w:abstractNumId="18">
    <w:nsid w:val="5054E904"/>
    <w:multiLevelType w:val="singleLevel"/>
    <w:tmpl w:val="5054E904"/>
    <w:lvl w:ilvl="0" w:tentative="0">
      <w:start w:val="1"/>
      <w:numFmt w:val="decimal"/>
      <w:suff w:val="nothing"/>
      <w:lvlText w:val="（%1）"/>
      <w:lvlJc w:val="left"/>
    </w:lvl>
  </w:abstractNum>
  <w:abstractNum w:abstractNumId="19">
    <w:nsid w:val="53E379A7"/>
    <w:multiLevelType w:val="singleLevel"/>
    <w:tmpl w:val="53E379A7"/>
    <w:lvl w:ilvl="0" w:tentative="0">
      <w:start w:val="1"/>
      <w:numFmt w:val="decimal"/>
      <w:suff w:val="nothing"/>
      <w:lvlText w:val="（%1）"/>
      <w:lvlJc w:val="left"/>
    </w:lvl>
  </w:abstractNum>
  <w:abstractNum w:abstractNumId="20">
    <w:nsid w:val="58252E75"/>
    <w:multiLevelType w:val="singleLevel"/>
    <w:tmpl w:val="58252E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1">
    <w:nsid w:val="62412E44"/>
    <w:multiLevelType w:val="singleLevel"/>
    <w:tmpl w:val="62412E4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2">
    <w:nsid w:val="775B4978"/>
    <w:multiLevelType w:val="singleLevel"/>
    <w:tmpl w:val="775B49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3">
    <w:nsid w:val="7885D8D0"/>
    <w:multiLevelType w:val="singleLevel"/>
    <w:tmpl w:val="7885D8D0"/>
    <w:lvl w:ilvl="0" w:tentative="0">
      <w:start w:val="1"/>
      <w:numFmt w:val="decimal"/>
      <w:suff w:val="space"/>
      <w:lvlText w:val="%1."/>
      <w:lvlJc w:val="left"/>
    </w:lvl>
  </w:abstractNum>
  <w:abstractNum w:abstractNumId="24">
    <w:nsid w:val="7AC38DF9"/>
    <w:multiLevelType w:val="singleLevel"/>
    <w:tmpl w:val="7AC38DF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3"/>
  </w:num>
  <w:num w:numId="2">
    <w:abstractNumId w:val="15"/>
  </w:num>
  <w:num w:numId="3">
    <w:abstractNumId w:val="6"/>
  </w:num>
  <w:num w:numId="4">
    <w:abstractNumId w:val="4"/>
  </w:num>
  <w:num w:numId="5">
    <w:abstractNumId w:val="2"/>
  </w:num>
  <w:num w:numId="6">
    <w:abstractNumId w:val="7"/>
  </w:num>
  <w:num w:numId="7">
    <w:abstractNumId w:val="13"/>
  </w:num>
  <w:num w:numId="8">
    <w:abstractNumId w:val="14"/>
  </w:num>
  <w:num w:numId="9">
    <w:abstractNumId w:val="10"/>
  </w:num>
  <w:num w:numId="10">
    <w:abstractNumId w:val="5"/>
  </w:num>
  <w:num w:numId="11">
    <w:abstractNumId w:val="16"/>
  </w:num>
  <w:num w:numId="12">
    <w:abstractNumId w:val="0"/>
  </w:num>
  <w:num w:numId="13">
    <w:abstractNumId w:val="21"/>
  </w:num>
  <w:num w:numId="14">
    <w:abstractNumId w:val="12"/>
  </w:num>
  <w:num w:numId="15">
    <w:abstractNumId w:val="24"/>
  </w:num>
  <w:num w:numId="16">
    <w:abstractNumId w:val="20"/>
  </w:num>
  <w:num w:numId="17">
    <w:abstractNumId w:val="1"/>
  </w:num>
  <w:num w:numId="18">
    <w:abstractNumId w:val="19"/>
  </w:num>
  <w:num w:numId="19">
    <w:abstractNumId w:val="9"/>
  </w:num>
  <w:num w:numId="20">
    <w:abstractNumId w:val="11"/>
  </w:num>
  <w:num w:numId="21">
    <w:abstractNumId w:val="22"/>
  </w:num>
  <w:num w:numId="22">
    <w:abstractNumId w:val="17"/>
  </w:num>
  <w:num w:numId="23">
    <w:abstractNumId w:val="8"/>
  </w:num>
  <w:num w:numId="24">
    <w:abstractNumId w:val="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25FA06E3"/>
    <w:rsid w:val="0C0A7C01"/>
    <w:rsid w:val="12C7685F"/>
    <w:rsid w:val="1368042C"/>
    <w:rsid w:val="17213637"/>
    <w:rsid w:val="25FA06E3"/>
    <w:rsid w:val="2CAC21F7"/>
    <w:rsid w:val="49060246"/>
    <w:rsid w:val="5A47583A"/>
    <w:rsid w:val="67F66F8E"/>
    <w:rsid w:val="6CEC3325"/>
    <w:rsid w:val="7EAD6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autoRedefine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2024-03-15T07:46:00Z</dcterms:created>
  <dc:creator>枫影</dc:creator>
  <cp:lastModifiedBy>枫影</cp:lastModifiedBy>
  <dcterms:modified xsi:type="dcterms:W3CDTF">2024-03-22T08:59:26Z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BC23C72CC703456796F82A601C0D262B_11</vt:lpwstr>
  </property>
</Properties>
</file>