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兰亭黑简体" w:hAnsi="方正兰亭黑简体" w:eastAsia="方正兰亭黑简体" w:cs="方正兰亭黑简体"/>
          <w:b/>
          <w:bCs/>
          <w:color w:val="C00000"/>
          <w:sz w:val="28"/>
          <w:szCs w:val="28"/>
          <w:lang w:eastAsia="zh-CN"/>
        </w:rPr>
      </w:pPr>
      <w:bookmarkStart w:id="0" w:name="_GoBack"/>
      <w:r>
        <w:rPr>
          <w:rFonts w:hint="eastAsia" w:ascii="方正兰亭黑简体" w:hAnsi="方正兰亭黑简体" w:eastAsia="方正兰亭黑简体" w:cs="方正兰亭黑简体"/>
          <w:b/>
          <w:bCs/>
          <w:color w:val="C00000"/>
          <w:sz w:val="28"/>
          <w:szCs w:val="28"/>
          <w:lang w:eastAsia="zh-CN"/>
        </w:rPr>
        <w:t>《</w:t>
      </w:r>
      <w:r>
        <w:rPr>
          <w:rFonts w:hint="eastAsia" w:ascii="方正兰亭黑简体" w:hAnsi="方正兰亭黑简体" w:eastAsia="方正兰亭黑简体" w:cs="方正兰亭黑简体"/>
          <w:b/>
          <w:bCs/>
          <w:color w:val="C00000"/>
          <w:sz w:val="28"/>
          <w:szCs w:val="28"/>
          <w:lang w:val="en-US" w:eastAsia="zh-CN"/>
        </w:rPr>
        <w:t>物流企业的数字化营销</w:t>
      </w:r>
      <w:r>
        <w:rPr>
          <w:rFonts w:hint="eastAsia" w:ascii="方正兰亭黑简体" w:hAnsi="方正兰亭黑简体" w:eastAsia="方正兰亭黑简体" w:cs="方正兰亭黑简体"/>
          <w:b/>
          <w:bCs/>
          <w:color w:val="C00000"/>
          <w:sz w:val="28"/>
          <w:szCs w:val="28"/>
          <w:lang w:eastAsia="zh-CN"/>
        </w:rPr>
        <w:t>》</w:t>
      </w:r>
    </w:p>
    <w:bookmarkEnd w:id="0"/>
    <w:p>
      <w:pPr>
        <w:jc w:val="center"/>
        <w:rPr>
          <w:rFonts w:hint="eastAsia" w:ascii="方正兰亭黑简体" w:hAnsi="方正兰亭黑简体" w:eastAsia="方正兰亭黑简体" w:cs="方正兰亭黑简体"/>
          <w:lang w:val="en-US" w:eastAsia="zh-CN"/>
        </w:rPr>
      </w:pPr>
      <w:r>
        <w:rPr>
          <w:rFonts w:hint="eastAsia" w:ascii="方正兰亭黑简体" w:hAnsi="方正兰亭黑简体" w:eastAsia="方正兰亭黑简体" w:cs="方正兰亭黑简体"/>
          <w:b w:val="0"/>
          <w:bCs w:val="0"/>
          <w:color w:val="auto"/>
          <w:sz w:val="21"/>
          <w:szCs w:val="21"/>
          <w:lang w:val="en-US" w:eastAsia="zh-CN"/>
        </w:rPr>
        <w:t>主讲：王鸿华</w:t>
      </w:r>
    </w:p>
    <w:p>
      <w:pPr>
        <w:jc w:val="left"/>
        <w:rPr>
          <w:rFonts w:hint="eastAsia" w:ascii="方正兰亭黑简体" w:hAnsi="方正兰亭黑简体" w:eastAsia="方正兰亭黑简体" w:cs="方正兰亭黑简体"/>
          <w:b/>
          <w:bCs/>
          <w:color w:val="C00000"/>
          <w:sz w:val="24"/>
          <w:szCs w:val="24"/>
          <w:lang w:val="en-US" w:eastAsia="zh-CN"/>
        </w:rPr>
      </w:pPr>
      <w:r>
        <w:rPr>
          <w:rFonts w:hint="eastAsia" w:ascii="方正兰亭黑简体" w:hAnsi="方正兰亭黑简体" w:eastAsia="方正兰亭黑简体" w:cs="方正兰亭黑简体"/>
          <w:b/>
          <w:bCs/>
          <w:color w:val="C00000"/>
          <w:sz w:val="24"/>
          <w:szCs w:val="24"/>
          <w:lang w:val="en-US" w:eastAsia="zh-CN"/>
        </w:rPr>
        <w:t>【课程背景】</w:t>
      </w:r>
    </w:p>
    <w:p>
      <w:pPr>
        <w:spacing w:line="360" w:lineRule="auto"/>
        <w:ind w:firstLine="360" w:firstLineChars="200"/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21212"/>
          <w:spacing w:val="0"/>
          <w:sz w:val="18"/>
          <w:szCs w:val="18"/>
          <w:shd w:val="clear" w:fill="FFFFFF"/>
          <w:lang w:val="en-US" w:eastAsia="zh-CN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21212"/>
          <w:spacing w:val="0"/>
          <w:sz w:val="18"/>
          <w:szCs w:val="18"/>
          <w:shd w:val="clear" w:fill="FFFFFF"/>
        </w:rPr>
        <w:t>B2B企业和客户的联结，传统的展会营销、销售拜访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21212"/>
          <w:spacing w:val="0"/>
          <w:sz w:val="18"/>
          <w:szCs w:val="18"/>
          <w:shd w:val="clear" w:fill="FFFFFF"/>
          <w:lang w:val="en-US" w:eastAsia="zh-CN"/>
        </w:rPr>
        <w:t>基础上，诸多企业正在尝试借助数字化渠道、数字化工具来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21212"/>
          <w:spacing w:val="0"/>
          <w:sz w:val="18"/>
          <w:szCs w:val="18"/>
          <w:shd w:val="clear" w:fill="FFFFFF"/>
        </w:rPr>
        <w:t>重建与客户的对话通道，打造更便捷的客户体验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21212"/>
          <w:spacing w:val="0"/>
          <w:sz w:val="18"/>
          <w:szCs w:val="18"/>
          <w:shd w:val="clear" w:fill="FFFFFF"/>
          <w:lang w:eastAsia="zh-CN"/>
        </w:rPr>
        <w:t>。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如何借助数字化思维和数字化营销工具，对传统的营销体系展开创新，成为大多数2B类企业的关注点。</w:t>
      </w:r>
    </w:p>
    <w:p>
      <w:pPr>
        <w:spacing w:line="360" w:lineRule="auto"/>
        <w:ind w:firstLine="360" w:firstLineChars="200"/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本课程，重点从数字化营销的本质出发，围绕数字化营销的逻辑，结合B2B企业的特点和现状，分享当代工业企业数字化营销的策略、方法、工具和应用等。</w:t>
      </w:r>
    </w:p>
    <w:p>
      <w:pPr>
        <w:jc w:val="left"/>
        <w:rPr>
          <w:rFonts w:hint="eastAsia" w:ascii="方正兰亭黑简体" w:hAnsi="方正兰亭黑简体" w:eastAsia="方正兰亭黑简体" w:cs="方正兰亭黑简体"/>
          <w:b/>
          <w:bCs/>
          <w:color w:val="C00000"/>
          <w:sz w:val="24"/>
          <w:szCs w:val="24"/>
          <w:lang w:val="en-US" w:eastAsia="zh-CN"/>
        </w:rPr>
      </w:pPr>
      <w:r>
        <w:rPr>
          <w:rFonts w:hint="eastAsia" w:ascii="方正兰亭黑简体" w:hAnsi="方正兰亭黑简体" w:eastAsia="方正兰亭黑简体" w:cs="方正兰亭黑简体"/>
          <w:b/>
          <w:bCs/>
          <w:color w:val="C00000"/>
          <w:sz w:val="24"/>
          <w:szCs w:val="24"/>
          <w:lang w:val="en-US" w:eastAsia="zh-CN"/>
        </w:rPr>
        <w:t>【课程收获】</w:t>
      </w:r>
    </w:p>
    <w:p>
      <w:pPr>
        <w:numPr>
          <w:ilvl w:val="0"/>
          <w:numId w:val="1"/>
        </w:numPr>
        <w:spacing w:line="360" w:lineRule="auto"/>
        <w:ind w:left="420" w:leftChars="0" w:hanging="420" w:firstLineChars="0"/>
        <w:jc w:val="left"/>
        <w:rPr>
          <w:rFonts w:hint="default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理解数字化营销的价值</w:t>
      </w:r>
    </w:p>
    <w:p>
      <w:pPr>
        <w:numPr>
          <w:ilvl w:val="0"/>
          <w:numId w:val="1"/>
        </w:numPr>
        <w:spacing w:line="360" w:lineRule="auto"/>
        <w:ind w:left="420" w:leftChars="0" w:hanging="420" w:firstLineChars="0"/>
        <w:jc w:val="left"/>
        <w:rPr>
          <w:rFonts w:hint="default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掌握数字化思维和数字化营销的策略</w:t>
      </w:r>
    </w:p>
    <w:p>
      <w:pPr>
        <w:numPr>
          <w:ilvl w:val="0"/>
          <w:numId w:val="1"/>
        </w:numPr>
        <w:spacing w:line="360" w:lineRule="auto"/>
        <w:ind w:left="420" w:leftChars="0" w:hanging="420" w:firstLineChars="0"/>
        <w:jc w:val="left"/>
        <w:rPr>
          <w:rFonts w:hint="default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掌握借助数字化工具提升实际业绩的方法</w:t>
      </w:r>
    </w:p>
    <w:p>
      <w:pPr>
        <w:jc w:val="left"/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方正兰亭黑简体" w:hAnsi="方正兰亭黑简体" w:eastAsia="方正兰亭黑简体" w:cs="方正兰亭黑简体"/>
          <w:b/>
          <w:bCs/>
          <w:color w:val="C00000"/>
          <w:sz w:val="24"/>
          <w:szCs w:val="24"/>
          <w:lang w:val="en-US" w:eastAsia="zh-CN"/>
        </w:rPr>
        <w:t>【课程时间】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 xml:space="preserve"> 1天（6小时/天）</w:t>
      </w:r>
    </w:p>
    <w:p>
      <w:pPr>
        <w:jc w:val="left"/>
        <w:rPr>
          <w:rFonts w:hint="default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</w:pPr>
      <w:r>
        <w:rPr>
          <w:rFonts w:hint="eastAsia" w:ascii="方正兰亭黑简体" w:hAnsi="方正兰亭黑简体" w:eastAsia="方正兰亭黑简体" w:cs="方正兰亭黑简体"/>
          <w:b/>
          <w:bCs/>
          <w:color w:val="C00000"/>
          <w:sz w:val="24"/>
          <w:szCs w:val="24"/>
          <w:lang w:val="en-US" w:eastAsia="zh-CN"/>
        </w:rPr>
        <w:t>【课程对象】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18"/>
          <w:szCs w:val="18"/>
          <w:lang w:val="en-US" w:eastAsia="zh-CN"/>
        </w:rPr>
        <w:t>业务部门</w:t>
      </w:r>
    </w:p>
    <w:p>
      <w:pPr>
        <w:jc w:val="left"/>
        <w:rPr>
          <w:rFonts w:hint="eastAsia" w:ascii="方正兰亭黑简体" w:hAnsi="方正兰亭黑简体" w:eastAsia="方正兰亭黑简体" w:cs="方正兰亭黑简体"/>
          <w:b/>
          <w:bCs/>
          <w:color w:val="C00000"/>
          <w:sz w:val="24"/>
          <w:szCs w:val="24"/>
          <w:lang w:val="en-US" w:eastAsia="zh-CN"/>
        </w:rPr>
      </w:pPr>
      <w:r>
        <w:rPr>
          <w:rFonts w:hint="eastAsia" w:ascii="方正兰亭黑简体" w:hAnsi="方正兰亭黑简体" w:eastAsia="方正兰亭黑简体" w:cs="方正兰亭黑简体"/>
          <w:b/>
          <w:bCs/>
          <w:color w:val="C00000"/>
          <w:sz w:val="24"/>
          <w:szCs w:val="24"/>
          <w:lang w:val="en-US" w:eastAsia="zh-CN"/>
        </w:rPr>
        <w:t>【课程内容】</w:t>
      </w:r>
    </w:p>
    <w:p>
      <w:pPr>
        <w:numPr>
          <w:ilvl w:val="0"/>
          <w:numId w:val="2"/>
        </w:numPr>
        <w:spacing w:line="360" w:lineRule="auto"/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营销数字化的基础认知</w:t>
      </w:r>
    </w:p>
    <w:p>
      <w:pPr>
        <w:numPr>
          <w:ilvl w:val="0"/>
          <w:numId w:val="3"/>
        </w:numPr>
        <w:spacing w:line="360" w:lineRule="auto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数字化的本质化特点是通过互联网产生链接，从而产生数据，以数据驱动增长</w:t>
      </w:r>
    </w:p>
    <w:p>
      <w:pPr>
        <w:numPr>
          <w:ilvl w:val="0"/>
          <w:numId w:val="3"/>
        </w:numPr>
        <w:spacing w:line="360" w:lineRule="auto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泛链接，让营销从价值链传递，走向以终端客户（用户）为中心</w:t>
      </w:r>
    </w:p>
    <w:p>
      <w:pPr>
        <w:numPr>
          <w:ilvl w:val="0"/>
          <w:numId w:val="4"/>
        </w:numPr>
        <w:spacing w:line="360" w:lineRule="auto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产品创新，围绕客户为中心创新产品</w:t>
      </w:r>
    </w:p>
    <w:p>
      <w:pPr>
        <w:numPr>
          <w:ilvl w:val="0"/>
          <w:numId w:val="4"/>
        </w:numPr>
        <w:spacing w:line="360" w:lineRule="auto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渠道创新，武装销售员，实现从存量走向增量</w:t>
      </w:r>
    </w:p>
    <w:p>
      <w:pPr>
        <w:numPr>
          <w:ilvl w:val="0"/>
          <w:numId w:val="4"/>
        </w:numPr>
        <w:spacing w:line="360" w:lineRule="auto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新媒体市场，打造标杆客户，做好行业口碑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定向链接，提升整体营销效率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更容易找到精准用户——借助网络+新媒体，实现精准拓客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借助互联网链接，更高效地与客户互动、成交——线上会议、直播、社群</w:t>
      </w:r>
    </w:p>
    <w:p>
      <w:pPr>
        <w:numPr>
          <w:ilvl w:val="0"/>
          <w:numId w:val="5"/>
        </w:numPr>
        <w:spacing w:line="360" w:lineRule="auto"/>
        <w:ind w:leftChars="0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借助SCRM系统，对客户进行数据分析和精准营销</w:t>
      </w:r>
    </w:p>
    <w:p>
      <w:pPr>
        <w:numPr>
          <w:ilvl w:val="0"/>
          <w:numId w:val="3"/>
        </w:numPr>
        <w:spacing w:line="360" w:lineRule="auto"/>
        <w:ind w:left="0" w:leftChars="0" w:firstLine="0" w:firstLineChars="0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数据驱动增长，数据让我们更懂我们的客户</w:t>
      </w:r>
    </w:p>
    <w:p>
      <w:pPr>
        <w:numPr>
          <w:ilvl w:val="0"/>
          <w:numId w:val="6"/>
        </w:numPr>
        <w:spacing w:line="360" w:lineRule="auto"/>
        <w:ind w:leftChars="0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做好客户的生命周期价值管理——ARPU值，把老客做好</w:t>
      </w:r>
    </w:p>
    <w:p>
      <w:pPr>
        <w:numPr>
          <w:ilvl w:val="0"/>
          <w:numId w:val="6"/>
        </w:numPr>
        <w:spacing w:line="360" w:lineRule="auto"/>
        <w:ind w:leftChars="0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更懂我们的客户——SCRM系统，真正知己知彼</w:t>
      </w:r>
    </w:p>
    <w:p>
      <w:pPr>
        <w:numPr>
          <w:ilvl w:val="0"/>
          <w:numId w:val="6"/>
        </w:numPr>
        <w:spacing w:line="360" w:lineRule="auto"/>
        <w:ind w:leftChars="0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做好精准的内容长短——内容+场景，破解客户的核心问题</w:t>
      </w:r>
    </w:p>
    <w:p>
      <w:pPr>
        <w:numPr>
          <w:ilvl w:val="0"/>
          <w:numId w:val="0"/>
        </w:numPr>
        <w:spacing w:line="360" w:lineRule="auto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color w:val="EE822F" w:themeColor="accent2"/>
          <w:sz w:val="18"/>
          <w:szCs w:val="18"/>
          <w:lang w:val="en-US" w:eastAsia="zh-CN"/>
          <w14:textFill>
            <w14:solidFill>
              <w14:schemeClr w14:val="accent2"/>
            </w14:solidFill>
          </w14:textFill>
        </w:rPr>
        <w:t>【案例】某物流供应链企业的短路经济</w:t>
      </w:r>
    </w:p>
    <w:p>
      <w:pPr>
        <w:numPr>
          <w:ilvl w:val="0"/>
          <w:numId w:val="0"/>
        </w:numPr>
        <w:spacing w:line="360" w:lineRule="auto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</w:p>
    <w:p>
      <w:pPr>
        <w:numPr>
          <w:ilvl w:val="0"/>
          <w:numId w:val="2"/>
        </w:numPr>
        <w:spacing w:line="360" w:lineRule="auto"/>
        <w:ind w:left="0" w:leftChars="0" w:firstLine="0" w:firstLineChars="0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从传统直销走向数字化营销</w:t>
      </w:r>
    </w:p>
    <w:p>
      <w:pPr>
        <w:numPr>
          <w:ilvl w:val="0"/>
          <w:numId w:val="7"/>
        </w:numPr>
        <w:spacing w:line="360" w:lineRule="auto"/>
        <w:ind w:leftChars="0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辩证性看待数字化营销与传统直销的关系</w:t>
      </w:r>
    </w:p>
    <w:p>
      <w:pPr>
        <w:numPr>
          <w:ilvl w:val="0"/>
          <w:numId w:val="8"/>
        </w:numPr>
        <w:spacing w:line="360" w:lineRule="auto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传统直销的优点和不足</w:t>
      </w:r>
    </w:p>
    <w:p>
      <w:pPr>
        <w:numPr>
          <w:ilvl w:val="0"/>
          <w:numId w:val="8"/>
        </w:numPr>
        <w:spacing w:line="360" w:lineRule="auto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数字化营销的优越性与实际的难点</w:t>
      </w:r>
    </w:p>
    <w:p>
      <w:pPr>
        <w:numPr>
          <w:ilvl w:val="0"/>
          <w:numId w:val="8"/>
        </w:numPr>
        <w:spacing w:line="360" w:lineRule="auto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两者结合的道路——从赋能到融合的发展</w:t>
      </w:r>
    </w:p>
    <w:p>
      <w:pPr>
        <w:numPr>
          <w:ilvl w:val="0"/>
          <w:numId w:val="7"/>
        </w:numPr>
        <w:spacing w:line="360" w:lineRule="auto"/>
        <w:ind w:left="0" w:leftChars="0" w:firstLine="0" w:firstLineChars="0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B2B企业如何实现营销的数字化转型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（1）1.0 以数字化工具武装销售，提升效率。</w:t>
      </w:r>
    </w:p>
    <w:p>
      <w:pPr>
        <w:numPr>
          <w:ilvl w:val="0"/>
          <w:numId w:val="0"/>
        </w:numPr>
        <w:spacing w:line="360" w:lineRule="auto"/>
        <w:ind w:leftChars="0" w:firstLine="360" w:firstLineChars="200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工具：ERP/企业微信/电子名片/SCRM/微信商城/抖音等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（2）2.0 构建平台+工具，构建客户-直销员之间的连接平台，直销员用工具更高效转化和做好客户维护</w:t>
      </w:r>
    </w:p>
    <w:p>
      <w:pPr>
        <w:numPr>
          <w:ilvl w:val="0"/>
          <w:numId w:val="0"/>
        </w:numPr>
        <w:spacing w:line="360" w:lineRule="auto"/>
        <w:ind w:leftChars="0" w:firstLine="360" w:firstLineChars="200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平台：打造核心中台系统+外部全渠道、全触点的链接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（3）3.0 数据驱动的精准精细化营销，以数据作为决策基础，指导员工通过数据来做好营销决策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 xml:space="preserve">    中台：业务中台+数据中台+组织中台+技术中台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eastAsia" w:ascii="微软雅黑" w:hAnsi="微软雅黑" w:eastAsia="微软雅黑" w:cs="微软雅黑"/>
          <w:color w:val="EE822F" w:themeColor="accent2"/>
          <w:sz w:val="18"/>
          <w:szCs w:val="18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微软雅黑"/>
          <w:color w:val="EE822F" w:themeColor="accent2"/>
          <w:sz w:val="18"/>
          <w:szCs w:val="18"/>
          <w:lang w:val="en-US" w:eastAsia="zh-CN"/>
          <w14:textFill>
            <w14:solidFill>
              <w14:schemeClr w14:val="accent2"/>
            </w14:solidFill>
          </w14:textFill>
        </w:rPr>
        <w:t>【案例】跨境物流企业敏思达通过线上广告、社交媒体宣传等渠道，扩大品牌知名度，吸引更多潜在客户。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微软雅黑" w:hAnsi="微软雅黑" w:eastAsia="微软雅黑" w:cs="微软雅黑"/>
          <w:color w:val="EE822F" w:themeColor="accent2"/>
          <w:sz w:val="18"/>
          <w:szCs w:val="18"/>
          <w:lang w:val="en-US" w:eastAsia="zh-CN"/>
          <w14:textFill>
            <w14:solidFill>
              <w14:schemeClr w14:val="accent2"/>
            </w14:solidFill>
          </w14:textFill>
        </w:rPr>
      </w:pPr>
    </w:p>
    <w:p>
      <w:pPr>
        <w:widowControl w:val="0"/>
        <w:numPr>
          <w:ilvl w:val="0"/>
          <w:numId w:val="2"/>
        </w:numPr>
        <w:spacing w:line="360" w:lineRule="auto"/>
        <w:ind w:left="0" w:leftChars="0" w:firstLine="0" w:firstLineChars="0"/>
        <w:jc w:val="both"/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18"/>
          <w:szCs w:val="18"/>
          <w:lang w:val="en-US" w:eastAsia="zh-CN"/>
        </w:rPr>
        <w:t>物流企业数字化营销</w:t>
      </w:r>
    </w:p>
    <w:p>
      <w:pPr>
        <w:widowControl w:val="0"/>
        <w:numPr>
          <w:ilvl w:val="0"/>
          <w:numId w:val="9"/>
        </w:numPr>
        <w:spacing w:line="360" w:lineRule="auto"/>
        <w:ind w:leftChars="0"/>
        <w:jc w:val="both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构建共赢B2B/b的数字化营销增长模型</w:t>
      </w:r>
    </w:p>
    <w:p>
      <w:pPr>
        <w:widowControl w:val="0"/>
        <w:numPr>
          <w:ilvl w:val="0"/>
          <w:numId w:val="10"/>
        </w:numPr>
        <w:spacing w:line="360" w:lineRule="auto"/>
        <w:jc w:val="both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NPS模型</w:t>
      </w:r>
    </w:p>
    <w:p>
      <w:pPr>
        <w:widowControl w:val="0"/>
        <w:numPr>
          <w:ilvl w:val="0"/>
          <w:numId w:val="10"/>
        </w:numPr>
        <w:spacing w:line="360" w:lineRule="auto"/>
        <w:jc w:val="both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AARRR模型</w:t>
      </w:r>
    </w:p>
    <w:p>
      <w:pPr>
        <w:widowControl w:val="0"/>
        <w:numPr>
          <w:ilvl w:val="0"/>
          <w:numId w:val="10"/>
        </w:numPr>
        <w:spacing w:line="360" w:lineRule="auto"/>
        <w:jc w:val="both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触点模型</w:t>
      </w:r>
    </w:p>
    <w:p>
      <w:pPr>
        <w:widowControl w:val="0"/>
        <w:numPr>
          <w:ilvl w:val="0"/>
          <w:numId w:val="11"/>
        </w:numPr>
        <w:spacing w:line="360" w:lineRule="auto"/>
        <w:jc w:val="both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分阶段实施落地</w:t>
      </w:r>
    </w:p>
    <w:p>
      <w:pPr>
        <w:widowControl w:val="0"/>
        <w:numPr>
          <w:ilvl w:val="0"/>
          <w:numId w:val="12"/>
        </w:numPr>
        <w:spacing w:line="360" w:lineRule="auto"/>
        <w:jc w:val="both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品牌+新媒体+标杆客户，打造行业品牌势能</w:t>
      </w:r>
    </w:p>
    <w:p>
      <w:pPr>
        <w:widowControl w:val="0"/>
        <w:numPr>
          <w:ilvl w:val="0"/>
          <w:numId w:val="12"/>
        </w:numPr>
        <w:spacing w:line="360" w:lineRule="auto"/>
        <w:jc w:val="both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与潜在客户构建链接——通讯录、微信好友、微信群、抖音快手、自媒体账号等</w:t>
      </w:r>
    </w:p>
    <w:p>
      <w:pPr>
        <w:widowControl w:val="0"/>
        <w:numPr>
          <w:ilvl w:val="0"/>
          <w:numId w:val="0"/>
        </w:numPr>
        <w:spacing w:line="360" w:lineRule="auto"/>
        <w:jc w:val="both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方法：SEO/SEM、内容营销、跨界、社交裂变</w:t>
      </w:r>
    </w:p>
    <w:p>
      <w:pPr>
        <w:widowControl w:val="0"/>
        <w:numPr>
          <w:ilvl w:val="0"/>
          <w:numId w:val="12"/>
        </w:numPr>
        <w:spacing w:line="360" w:lineRule="auto"/>
        <w:jc w:val="both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做好存量客户数据的捕获——标签画像、购买动机、应用场景、产品结构等</w:t>
      </w:r>
    </w:p>
    <w:p>
      <w:pPr>
        <w:widowControl w:val="0"/>
        <w:numPr>
          <w:ilvl w:val="0"/>
          <w:numId w:val="12"/>
        </w:numPr>
        <w:spacing w:line="360" w:lineRule="auto"/>
        <w:jc w:val="both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存量客户的精细化运营（SCRM）——分层、分类、分群</w:t>
      </w:r>
    </w:p>
    <w:p>
      <w:pPr>
        <w:widowControl w:val="0"/>
        <w:numPr>
          <w:ilvl w:val="0"/>
          <w:numId w:val="12"/>
        </w:numPr>
        <w:spacing w:line="360" w:lineRule="auto"/>
        <w:jc w:val="both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标杆客户与市场运营：品牌、产品、应用场景——自媒体+图文/短视频+直播</w:t>
      </w:r>
    </w:p>
    <w:p>
      <w:pPr>
        <w:widowControl w:val="0"/>
        <w:numPr>
          <w:ilvl w:val="0"/>
          <w:numId w:val="11"/>
        </w:numPr>
        <w:spacing w:line="360" w:lineRule="auto"/>
        <w:ind w:left="0" w:leftChars="0" w:firstLine="0" w:firstLineChars="0"/>
        <w:jc w:val="both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数字化营销落地保障要素</w:t>
      </w:r>
    </w:p>
    <w:p>
      <w:pPr>
        <w:widowControl w:val="0"/>
        <w:numPr>
          <w:ilvl w:val="0"/>
          <w:numId w:val="13"/>
        </w:numPr>
        <w:spacing w:line="360" w:lineRule="auto"/>
        <w:ind w:leftChars="0"/>
        <w:jc w:val="both"/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组织管理：围绕“核心抓手”工作的协同性组织</w:t>
      </w:r>
    </w:p>
    <w:p>
      <w:pPr>
        <w:widowControl w:val="0"/>
        <w:numPr>
          <w:ilvl w:val="0"/>
          <w:numId w:val="13"/>
        </w:numPr>
        <w:spacing w:line="360" w:lineRule="auto"/>
        <w:ind w:leftChars="0"/>
        <w:jc w:val="both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商业业务：研究用户、设计主要的营销方向和产品</w:t>
      </w:r>
    </w:p>
    <w:p>
      <w:pPr>
        <w:widowControl w:val="0"/>
        <w:numPr>
          <w:ilvl w:val="0"/>
          <w:numId w:val="13"/>
        </w:numPr>
        <w:spacing w:line="360" w:lineRule="auto"/>
        <w:ind w:leftChars="0"/>
        <w:jc w:val="both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>技术层面：先打工具，后打造系统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40" w:beforeAutospacing="0" w:after="0" w:afterAutospacing="0" w:line="18" w:lineRule="atLeast"/>
        <w:ind w:left="0" w:right="0" w:firstLine="0"/>
        <w:jc w:val="left"/>
        <w:rPr>
          <w:rFonts w:hint="eastAsia" w:ascii="微软雅黑" w:hAnsi="微软雅黑" w:eastAsia="微软雅黑" w:cs="微软雅黑"/>
          <w:color w:val="EE822F" w:themeColor="accent2"/>
          <w:sz w:val="18"/>
          <w:szCs w:val="18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ascii="微软雅黑" w:hAnsi="微软雅黑" w:eastAsia="微软雅黑" w:cs="微软雅黑"/>
          <w:color w:val="EE822F" w:themeColor="accent2"/>
          <w:sz w:val="18"/>
          <w:szCs w:val="18"/>
          <w:lang w:val="en-US" w:eastAsia="zh-CN"/>
          <w14:textFill>
            <w14:solidFill>
              <w14:schemeClr w14:val="accent2"/>
            </w14:solidFill>
          </w14:textFill>
        </w:rPr>
        <w:t>【案例】UPS</w:t>
      </w:r>
      <w:r>
        <w:rPr>
          <w:rFonts w:hint="default" w:ascii="微软雅黑" w:hAnsi="微软雅黑" w:eastAsia="微软雅黑" w:cs="微软雅黑"/>
          <w:color w:val="EE822F" w:themeColor="accent2"/>
          <w:sz w:val="18"/>
          <w:szCs w:val="18"/>
          <w:lang w:val="en-US" w:eastAsia="zh-CN"/>
          <w14:textFill>
            <w14:solidFill>
              <w14:schemeClr w14:val="accent2"/>
            </w14:solidFill>
          </w14:textFill>
        </w:rPr>
        <w:t>数字化营销策略：</w:t>
      </w:r>
    </w:p>
    <w:p>
      <w:pPr>
        <w:pStyle w:val="2"/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40" w:beforeAutospacing="0" w:after="0" w:afterAutospacing="0" w:line="18" w:lineRule="atLeast"/>
        <w:ind w:left="420" w:leftChars="0" w:right="0" w:hanging="420" w:firstLineChars="0"/>
        <w:jc w:val="left"/>
        <w:rPr>
          <w:rFonts w:hint="eastAsia" w:ascii="微软雅黑" w:hAnsi="微软雅黑" w:eastAsia="微软雅黑" w:cs="微软雅黑"/>
          <w:color w:val="EE822F" w:themeColor="accent2"/>
          <w:sz w:val="18"/>
          <w:szCs w:val="18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default" w:ascii="微软雅黑" w:hAnsi="微软雅黑" w:eastAsia="微软雅黑" w:cs="微软雅黑"/>
          <w:color w:val="EE822F" w:themeColor="accent2"/>
          <w:sz w:val="18"/>
          <w:szCs w:val="18"/>
          <w:lang w:val="en-US" w:eastAsia="zh-CN"/>
          <w14:textFill>
            <w14:solidFill>
              <w14:schemeClr w14:val="accent2"/>
            </w14:solidFill>
          </w14:textFill>
        </w:rPr>
        <w:t>客户数据分析：UPS利用大数据技术分析客户行为，从而更精准地推送个性化的营销信息和服务。</w:t>
      </w:r>
    </w:p>
    <w:p>
      <w:pPr>
        <w:pStyle w:val="2"/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40" w:beforeAutospacing="0" w:after="0" w:afterAutospacing="0" w:line="18" w:lineRule="atLeast"/>
        <w:ind w:left="420" w:leftChars="0" w:right="0" w:hanging="420" w:firstLineChars="0"/>
        <w:jc w:val="left"/>
        <w:rPr>
          <w:rFonts w:hint="default" w:ascii="微软雅黑" w:hAnsi="微软雅黑" w:eastAsia="微软雅黑" w:cs="微软雅黑"/>
          <w:color w:val="EE822F" w:themeColor="accent2"/>
          <w:sz w:val="18"/>
          <w:szCs w:val="18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default" w:ascii="微软雅黑" w:hAnsi="微软雅黑" w:eastAsia="微软雅黑" w:cs="微软雅黑"/>
          <w:color w:val="EE822F" w:themeColor="accent2"/>
          <w:sz w:val="18"/>
          <w:szCs w:val="18"/>
          <w:lang w:val="en-US" w:eastAsia="zh-CN"/>
          <w14:textFill>
            <w14:solidFill>
              <w14:schemeClr w14:val="accent2"/>
            </w14:solidFill>
          </w14:textFill>
        </w:rPr>
        <w:t>优化客户服务：通过数字化工具，如UPS My Choice®服务，让客户能够更灵活地管理他们的包裹，包括重新安排配送时间、为包裹提供预先通知等。</w:t>
      </w:r>
    </w:p>
    <w:p>
      <w:pPr>
        <w:pStyle w:val="2"/>
        <w:keepNext w:val="0"/>
        <w:keepLines w:val="0"/>
        <w:widowControl/>
        <w:numPr>
          <w:ilvl w:val="0"/>
          <w:numId w:val="1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DFDFE"/>
        <w:spacing w:before="140" w:beforeAutospacing="0" w:after="0" w:afterAutospacing="0" w:line="18" w:lineRule="atLeast"/>
        <w:ind w:left="420" w:leftChars="0" w:right="0" w:hanging="420" w:firstLineChars="0"/>
        <w:jc w:val="left"/>
        <w:rPr>
          <w:rFonts w:hint="default" w:ascii="微软雅黑" w:hAnsi="微软雅黑" w:eastAsia="微软雅黑" w:cs="微软雅黑"/>
          <w:color w:val="EE822F" w:themeColor="accent2"/>
          <w:sz w:val="18"/>
          <w:szCs w:val="18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default" w:ascii="微软雅黑" w:hAnsi="微软雅黑" w:eastAsia="微软雅黑" w:cs="微软雅黑"/>
          <w:color w:val="EE822F" w:themeColor="accent2"/>
          <w:sz w:val="18"/>
          <w:szCs w:val="18"/>
          <w:lang w:val="en-US" w:eastAsia="zh-CN"/>
          <w14:textFill>
            <w14:solidFill>
              <w14:schemeClr w14:val="accent2"/>
            </w14:solidFill>
          </w14:textFill>
        </w:rPr>
        <w:t>社交媒体互动：在各大社交媒体平台上积极与客户互动，及时解决客户问题，提升品牌形象。</w:t>
      </w:r>
    </w:p>
    <w:p>
      <w:pPr>
        <w:widowControl w:val="0"/>
        <w:numPr>
          <w:ilvl w:val="0"/>
          <w:numId w:val="0"/>
        </w:numPr>
        <w:spacing w:line="360" w:lineRule="auto"/>
        <w:ind w:leftChars="0"/>
        <w:jc w:val="both"/>
        <w:rPr>
          <w:rFonts w:hint="default" w:ascii="微软雅黑" w:hAnsi="微软雅黑" w:eastAsia="微软雅黑" w:cs="微软雅黑"/>
          <w:sz w:val="18"/>
          <w:szCs w:val="1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1" w:fontKey="{734633F7-CCF4-4624-8CE9-031170B5B219}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D84E8D24-134B-4BDF-AB2B-6CE6B7838252}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4544C2C"/>
    <w:multiLevelType w:val="singleLevel"/>
    <w:tmpl w:val="94544C2C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84F6614"/>
    <w:multiLevelType w:val="singleLevel"/>
    <w:tmpl w:val="984F6614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A3D71461"/>
    <w:multiLevelType w:val="singleLevel"/>
    <w:tmpl w:val="A3D71461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AA88087D"/>
    <w:multiLevelType w:val="singleLevel"/>
    <w:tmpl w:val="AA88087D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B16E15C1"/>
    <w:multiLevelType w:val="singleLevel"/>
    <w:tmpl w:val="B16E15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D3BC5115"/>
    <w:multiLevelType w:val="singleLevel"/>
    <w:tmpl w:val="D3BC5115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D47B7ACE"/>
    <w:multiLevelType w:val="singleLevel"/>
    <w:tmpl w:val="D47B7ACE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7">
    <w:nsid w:val="DD150EE0"/>
    <w:multiLevelType w:val="singleLevel"/>
    <w:tmpl w:val="DD150EE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F1155429"/>
    <w:multiLevelType w:val="singleLevel"/>
    <w:tmpl w:val="F1155429"/>
    <w:lvl w:ilvl="0" w:tentative="0">
      <w:start w:val="2"/>
      <w:numFmt w:val="decimal"/>
      <w:suff w:val="nothing"/>
      <w:lvlText w:val="%1、"/>
      <w:lvlJc w:val="left"/>
    </w:lvl>
  </w:abstractNum>
  <w:abstractNum w:abstractNumId="9">
    <w:nsid w:val="F7CCE8B0"/>
    <w:multiLevelType w:val="singleLevel"/>
    <w:tmpl w:val="F7CCE8B0"/>
    <w:lvl w:ilvl="0" w:tentative="0">
      <w:start w:val="1"/>
      <w:numFmt w:val="decimal"/>
      <w:suff w:val="nothing"/>
      <w:lvlText w:val="（%1）"/>
      <w:lvlJc w:val="left"/>
    </w:lvl>
  </w:abstractNum>
  <w:abstractNum w:abstractNumId="10">
    <w:nsid w:val="418DB46B"/>
    <w:multiLevelType w:val="singleLevel"/>
    <w:tmpl w:val="418DB46B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1">
    <w:nsid w:val="632A6156"/>
    <w:multiLevelType w:val="singleLevel"/>
    <w:tmpl w:val="632A6156"/>
    <w:lvl w:ilvl="0" w:tentative="0">
      <w:start w:val="1"/>
      <w:numFmt w:val="decimal"/>
      <w:suff w:val="nothing"/>
      <w:lvlText w:val="（%1）"/>
      <w:lvlJc w:val="left"/>
    </w:lvl>
  </w:abstractNum>
  <w:abstractNum w:abstractNumId="12">
    <w:nsid w:val="6A5881F3"/>
    <w:multiLevelType w:val="singleLevel"/>
    <w:tmpl w:val="6A5881F3"/>
    <w:lvl w:ilvl="0" w:tentative="0">
      <w:start w:val="1"/>
      <w:numFmt w:val="decimal"/>
      <w:suff w:val="nothing"/>
      <w:lvlText w:val="（%1）"/>
      <w:lvlJc w:val="left"/>
    </w:lvl>
  </w:abstractNum>
  <w:abstractNum w:abstractNumId="13">
    <w:nsid w:val="6ABF65FD"/>
    <w:multiLevelType w:val="singleLevel"/>
    <w:tmpl w:val="6ABF65F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0"/>
  </w:num>
  <w:num w:numId="2">
    <w:abstractNumId w:val="4"/>
  </w:num>
  <w:num w:numId="3">
    <w:abstractNumId w:val="7"/>
  </w:num>
  <w:num w:numId="4">
    <w:abstractNumId w:val="0"/>
  </w:num>
  <w:num w:numId="5">
    <w:abstractNumId w:val="11"/>
  </w:num>
  <w:num w:numId="6">
    <w:abstractNumId w:val="9"/>
  </w:num>
  <w:num w:numId="7">
    <w:abstractNumId w:val="2"/>
  </w:num>
  <w:num w:numId="8">
    <w:abstractNumId w:val="12"/>
  </w:num>
  <w:num w:numId="9">
    <w:abstractNumId w:val="13"/>
  </w:num>
  <w:num w:numId="10">
    <w:abstractNumId w:val="5"/>
  </w:num>
  <w:num w:numId="11">
    <w:abstractNumId w:val="8"/>
  </w:num>
  <w:num w:numId="12">
    <w:abstractNumId w:val="3"/>
  </w:num>
  <w:num w:numId="13">
    <w:abstractNumId w:val="1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59842484"/>
    <w:rsid w:val="0C0A7C01"/>
    <w:rsid w:val="12C7685F"/>
    <w:rsid w:val="1368042C"/>
    <w:rsid w:val="17213637"/>
    <w:rsid w:val="2CAC21F7"/>
    <w:rsid w:val="49060246"/>
    <w:rsid w:val="59842484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paragraph" w:customStyle="1" w:styleId="6">
    <w:name w:val="一级标题"/>
    <w:basedOn w:val="1"/>
    <w:qFormat/>
    <w:uiPriority w:val="0"/>
    <w:rPr>
      <w:rFonts w:eastAsia="方正兰亭黑简体" w:asciiTheme="minorAscii" w:hAnsiTheme="minorAscii"/>
    </w:rPr>
  </w:style>
  <w:style w:type="paragraph" w:customStyle="1" w:styleId="7">
    <w:name w:val="二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8">
    <w:name w:val="三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11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2024-06-06T10:16:00Z</dcterms:created>
  <dc:creator>枫影</dc:creator>
  <cp:lastModifiedBy>枫影</cp:lastModifiedBy>
  <dcterms:modified xsi:type="dcterms:W3CDTF">2024-06-06T10:27:44Z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C8DADE47C3D34F4C85583FBF576C4470_11</vt:lpwstr>
  </property>
</Properties>
</file>