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default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《智慧车站运维</w:t>
      </w:r>
      <w:r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》</w:t>
      </w:r>
    </w:p>
    <w:bookmarkEnd w:id="0"/>
    <w:p>
      <w:pPr>
        <w:rPr>
          <w:rFonts w:hint="default"/>
          <w:lang w:eastAsia="zh-CN"/>
        </w:rPr>
      </w:pPr>
    </w:p>
    <w:p>
      <w:pP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一、课程背景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随着科技的飞速发展，智慧城市建设正在全球范围内如火如荼地展开。作为城市交通的重要组成部分，地铁系统的智慧化、智能化升级势在必行。智慧地铁通过集成信息技术、物联网技术、大数据技术、人工智能技术等一系列高科技手段，旨在提供更加安全、高效、便捷的出行服务。本课程将深入探讨智慧车站运维的理论基础和实践应用，为地铁公司提供全面的智慧化解决方案。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二、课程收获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1. 理解智慧地铁的概念、内涵及其在现代城市交通中的重要作用。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2. 掌握智慧车站运维的基本原理和核心技术。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3. 熟悉智慧车站运维的各类应用场景及其优势。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4. 了解智慧车站运维的落地实施路径和方法。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5. 借鉴国内外成功案例，提升实际操作能力和创新思维。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三、课程对象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地铁公司技术管理人员、运维团队成员、相关决策者及对未来智慧交通感兴趣的人士。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四、课程时长</w:t>
      </w:r>
      <w:r>
        <w:rPr>
          <w:rFonts w:hint="default"/>
          <w:lang w:eastAsia="zh-CN"/>
        </w:rPr>
        <w:t>1天（6小时）</w:t>
      </w:r>
    </w:p>
    <w:p>
      <w:pP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</w:p>
    <w:p>
      <w:pP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default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五、课程大纲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1. 智慧地铁概述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- 1.1 智慧地铁的定义与发展趋势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- 1.2 智慧地铁与传统地铁的对比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- 1.3 智慧地铁在全球范围内的实践与挑战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2. 智慧车站运维的理论基础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- 2.1 物联网（IoT）在车站运维中的应用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- 2.2 大数据分析在车站运维中的价值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- 2.3 人工智能与机器学习在车站运维中的创新点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3. 智慧车站运维的核心技术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- 3.1 传感器技术与数据采集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- 3.2 云计算平台与数据存储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- 3.3 边缘计算在车站运维中的实践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- 3.4 网络安全与数据保护策略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4. 智慧车站运维的应用场景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- 4.1 实时监控与预警系统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- 4.2 自动化维护与故障诊断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- 4.3 乘客服务与互动体验提升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- 4.4 能源管理与节能减排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5. 智慧车站运维的落地实施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- 5.1 前期规划与项目评估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- 5.2 硬件与软件的选型与集成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- 5.3 运维团队的培训与组织结构调整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- 5.4 持续改进与优化策略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6. 国内外案例分析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- 6.1 国内案例：</w:t>
      </w:r>
      <w:r>
        <w:rPr>
          <w:rFonts w:hint="eastAsia"/>
          <w:lang w:val="en-US" w:eastAsia="zh-CN"/>
        </w:rPr>
        <w:t>成都</w:t>
      </w:r>
      <w:r>
        <w:rPr>
          <w:rFonts w:hint="default"/>
          <w:lang w:eastAsia="zh-CN"/>
        </w:rPr>
        <w:t>地铁智慧车站改造项目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- 6.1.1 项目背景与目标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- 6.1.2 改造内容与实施步骤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- 6.1.3 成效评估与反馈</w:t>
      </w:r>
    </w:p>
    <w:p>
      <w:pPr>
        <w:rPr>
          <w:rFonts w:hint="default"/>
          <w:lang w:eastAsia="zh-CN"/>
        </w:rPr>
      </w:pP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7. 课程总结与展望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- 7.1 回顾课程重点内容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- 7.2 分享行业前沿动态与技术趋势</w:t>
      </w:r>
    </w:p>
    <w:p>
      <w:pPr>
        <w:rPr>
          <w:rFonts w:hint="default"/>
          <w:lang w:eastAsia="zh-CN"/>
        </w:rPr>
      </w:pPr>
      <w:r>
        <w:rPr>
          <w:rFonts w:hint="default"/>
          <w:lang w:eastAsia="zh-CN"/>
        </w:rPr>
        <w:t>- 7.3 对未来智慧车站运维的展望与建议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83766C1"/>
    <w:rsid w:val="3AE174A3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autoRedefine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3">
    <w:name w:val="Default Paragraph Font"/>
    <w:autoRedefine/>
    <w:qFormat/>
    <w:uiPriority w:val="0"/>
    <w:rPr>
      <w:rFonts w:eastAsia="微软雅黑" w:asciiTheme="minorAscii" w:hAnsiTheme="minorAscii"/>
    </w:rPr>
  </w:style>
  <w:style w:type="table" w:default="1" w:styleId="11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12">
    <w:name w:val="Table Grid"/>
    <w:basedOn w:val="11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2024-04-29T13:39:28Z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6200B44FE2B84092A9D882380E962869_12</vt:lpwstr>
  </property>
</Properties>
</file>