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7A42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</w:t>
      </w:r>
      <w:r>
        <w:rPr>
          <w:rFonts w:hint="eastAsia" w:ascii="楷体" w:hAnsi="楷体" w:eastAsia="楷体"/>
          <w:b/>
          <w:sz w:val="36"/>
          <w:szCs w:val="24"/>
        </w:rPr>
        <w:t>企业内训师TTT赋能—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敏捷</w:t>
      </w:r>
      <w:r>
        <w:rPr>
          <w:rFonts w:hint="eastAsia" w:ascii="微软雅黑" w:hAnsi="微软雅黑" w:eastAsia="微软雅黑"/>
          <w:b/>
          <w:sz w:val="36"/>
          <w:szCs w:val="24"/>
        </w:rPr>
        <w:t>课程设计与开发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与授课能力提升</w:t>
      </w:r>
      <w:r>
        <w:rPr>
          <w:rFonts w:hint="eastAsia" w:ascii="微软雅黑" w:hAnsi="微软雅黑" w:eastAsia="微软雅黑"/>
          <w:b/>
          <w:sz w:val="36"/>
          <w:szCs w:val="24"/>
        </w:rPr>
        <w:t>》大纲</w:t>
      </w:r>
    </w:p>
    <w:p w14:paraId="4253F3A5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</w:p>
    <w:p w14:paraId="29B6C73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6405BE15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课程背景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Background</w:t>
      </w:r>
    </w:p>
    <w:p w14:paraId="4B5A0671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57B5FC95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7BA7D0AB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课程收益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harvest</w:t>
      </w:r>
    </w:p>
    <w:p w14:paraId="6FFD299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修炼心智——充分认知企业内训师的角色定位与岗位职责，明确自身的工作价值与意义，克服恐惧心理，激发成就动机，掌握培训师必备素养、思维、开发与表达的相关知识与技巧；</w:t>
      </w:r>
    </w:p>
    <w:p w14:paraId="5E30FD89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187B6AD5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51BE1CB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修炼技巧—通过互动实操，促动引导技术，使学员掌握成人学习的动机与特点，结构化授课流程，科学实施教学环节设计，提升课堂呈现技巧。</w:t>
      </w:r>
    </w:p>
    <w:p w14:paraId="05612A59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三、课程时间及对象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Time &amp; Participants</w:t>
      </w:r>
    </w:p>
    <w:p w14:paraId="7BA247D5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课程时间：2天（每天6课时）</w:t>
      </w:r>
    </w:p>
    <w:p w14:paraId="1BAABCB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参训对象：企业内部专、兼职培训师</w:t>
      </w:r>
    </w:p>
    <w:p w14:paraId="0016F94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四、课程大纲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Syllabus</w:t>
      </w:r>
    </w:p>
    <w:p w14:paraId="0C65B3C5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内训师角色定位与职业素养（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/>
          <w:sz w:val="24"/>
          <w:szCs w:val="24"/>
        </w:rPr>
        <w:t>H）</w:t>
      </w:r>
    </w:p>
    <w:p w14:paraId="1E1AAB76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内训师的角色定位</w:t>
      </w:r>
    </w:p>
    <w:p w14:paraId="00308F0F">
      <w:pPr>
        <w:pStyle w:val="6"/>
        <w:numPr>
          <w:ilvl w:val="0"/>
          <w:numId w:val="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内训师在组织中承担角色</w:t>
      </w:r>
    </w:p>
    <w:p w14:paraId="61ECE6F9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知识传播</w:t>
      </w:r>
    </w:p>
    <w:p w14:paraId="5865C4F6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</w:t>
      </w:r>
    </w:p>
    <w:p w14:paraId="5341E5CF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思维启发</w:t>
      </w:r>
    </w:p>
    <w:p w14:paraId="221A2B3D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技能训练</w:t>
      </w:r>
    </w:p>
    <w:p w14:paraId="60F9925C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变革推动</w:t>
      </w:r>
    </w:p>
    <w:p w14:paraId="6170AD09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对内训师工作的认识误区</w:t>
      </w:r>
    </w:p>
    <w:p w14:paraId="3F40C750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内训师的胜任能力</w:t>
      </w:r>
    </w:p>
    <w:p w14:paraId="332B2354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内训师的四种状态</w:t>
      </w:r>
    </w:p>
    <w:p w14:paraId="18F71599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内训师的三大能力</w:t>
      </w:r>
    </w:p>
    <w:p w14:paraId="5A045E61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成为内训师的发展通道</w:t>
      </w:r>
    </w:p>
    <w:p w14:paraId="74A59A3C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基于岗位绩效的培训体系</w:t>
      </w:r>
    </w:p>
    <w:p w14:paraId="6F5AA0A5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岗位绩效ASK模型</w:t>
      </w:r>
    </w:p>
    <w:p w14:paraId="3AC17680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态度类</w:t>
      </w:r>
    </w:p>
    <w:p w14:paraId="699E5043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知识类</w:t>
      </w:r>
    </w:p>
    <w:p w14:paraId="0E17C839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技能类</w:t>
      </w:r>
    </w:p>
    <w:p w14:paraId="5CDBE0CB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布鲁姆教育目标分类</w:t>
      </w:r>
    </w:p>
    <w:p w14:paraId="109AFC09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柯氏四层级评估法</w:t>
      </w:r>
    </w:p>
    <w:p w14:paraId="4ADA698D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反应层</w:t>
      </w:r>
    </w:p>
    <w:p w14:paraId="2B24913E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学习层</w:t>
      </w:r>
    </w:p>
    <w:p w14:paraId="1B30C1CF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行为层</w:t>
      </w:r>
    </w:p>
    <w:p w14:paraId="7D6F9613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结果层</w:t>
      </w:r>
    </w:p>
    <w:p w14:paraId="03094A59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成人学习的主要特点</w:t>
      </w:r>
    </w:p>
    <w:p w14:paraId="1675E8F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1、小组研讨并分享：成人学习有哪些主要特点？</w:t>
      </w:r>
    </w:p>
    <w:p w14:paraId="4476FAC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、成人学习的六大特点</w:t>
      </w:r>
    </w:p>
    <w:p w14:paraId="237FE49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3、成人学习设计的要求</w:t>
      </w:r>
    </w:p>
    <w:p w14:paraId="7C701F3B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常用的课程开发模型介绍</w:t>
      </w:r>
    </w:p>
    <w:p w14:paraId="746B201A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ISD模型</w:t>
      </w:r>
    </w:p>
    <w:p w14:paraId="7252B647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HPT绩效模型</w:t>
      </w:r>
    </w:p>
    <w:p w14:paraId="20B171AB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SAM敏捷迭代模型</w:t>
      </w:r>
    </w:p>
    <w:p w14:paraId="75BD0DA4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经典ADDIE模型</w:t>
      </w:r>
    </w:p>
    <w:p w14:paraId="3665D08E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7AFE970C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课程设计与开发（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b/>
          <w:sz w:val="24"/>
          <w:szCs w:val="24"/>
        </w:rPr>
        <w:t>H）</w:t>
      </w:r>
    </w:p>
    <w:p w14:paraId="13F5A1CC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经典的ADDIE模型（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0.5</w:t>
      </w:r>
      <w:r>
        <w:rPr>
          <w:rFonts w:hint="eastAsia" w:ascii="宋体" w:hAnsi="宋体" w:eastAsia="宋体"/>
          <w:b/>
          <w:sz w:val="24"/>
          <w:szCs w:val="24"/>
        </w:rPr>
        <w:t>H</w:t>
      </w:r>
      <w:r>
        <w:rPr>
          <w:rFonts w:ascii="宋体" w:hAnsi="宋体" w:eastAsia="宋体"/>
          <w:b/>
          <w:sz w:val="24"/>
          <w:szCs w:val="24"/>
        </w:rPr>
        <w:t>）</w:t>
      </w:r>
    </w:p>
    <w:p w14:paraId="514CBB1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1、ADDIE模型五步法</w:t>
      </w:r>
    </w:p>
    <w:p w14:paraId="07B2531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2、ADDIE模型分解</w:t>
      </w:r>
    </w:p>
    <w:p w14:paraId="5F2AB594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1）前提：分析与设计</w:t>
      </w:r>
    </w:p>
    <w:p w14:paraId="0484E442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3）核心：开发与实施</w:t>
      </w:r>
    </w:p>
    <w:p w14:paraId="79356442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4）保证：评估</w:t>
      </w:r>
    </w:p>
    <w:p w14:paraId="10541F3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3、案例分析：杜邦的安全培训体系</w:t>
      </w:r>
    </w:p>
    <w:p w14:paraId="063ED99A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确定培训主题与目标（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H）</w:t>
      </w:r>
    </w:p>
    <w:p w14:paraId="342EA125">
      <w:pPr>
        <w:pStyle w:val="6"/>
        <w:numPr>
          <w:ilvl w:val="0"/>
          <w:numId w:val="11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</w:t>
      </w:r>
    </w:p>
    <w:p w14:paraId="7BE8C4C1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小组研讨：如何获得真实有效的培训需求？</w:t>
      </w:r>
    </w:p>
    <w:p w14:paraId="2BD128C9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培训需求分析的四个维度</w:t>
      </w:r>
    </w:p>
    <w:p w14:paraId="1216667D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培训需求分析的基本方法（问卷调查法、对象访谈法、关键事件法、绩效分析法、团队共创法等）</w:t>
      </w:r>
    </w:p>
    <w:p w14:paraId="0066771F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培训目标的确定与描述</w:t>
      </w:r>
    </w:p>
    <w:p w14:paraId="4C39CE63">
      <w:pPr>
        <w:pStyle w:val="6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目标描述的ABCD法</w:t>
      </w:r>
    </w:p>
    <w:p w14:paraId="09E6B8C8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分析受众情况</w:t>
      </w:r>
    </w:p>
    <w:p w14:paraId="15CC7BE3">
      <w:pPr>
        <w:pStyle w:val="6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小组讨论：学员的哪些情况对培训师很重要？为什么？</w:t>
      </w:r>
    </w:p>
    <w:p w14:paraId="46D5C2AD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培训课题的命名</w:t>
      </w:r>
    </w:p>
    <w:p w14:paraId="3E4176AF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不规范的课题命名方法</w:t>
      </w:r>
    </w:p>
    <w:p w14:paraId="0F9FCFB2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常用的课题命名方法</w:t>
      </w:r>
    </w:p>
    <w:p w14:paraId="65BADD1B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课题命名的原则总结</w:t>
      </w:r>
    </w:p>
    <w:p w14:paraId="10D9D0BB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color w:val="FF0000"/>
          <w:sz w:val="24"/>
          <w:szCs w:val="24"/>
        </w:rPr>
        <w:t>随堂练习&amp;指导：学员自有课程主题及目标的设定或优化（</w:t>
      </w:r>
      <w:r>
        <w:rPr>
          <w:rFonts w:hint="eastAsia" w:ascii="宋体" w:hAnsi="宋体" w:eastAsia="宋体"/>
          <w:b/>
          <w:color w:val="FF0000"/>
          <w:sz w:val="24"/>
          <w:szCs w:val="24"/>
          <w:lang w:val="en-US" w:eastAsia="zh-CN"/>
        </w:rPr>
        <w:t>0.5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H）</w:t>
      </w:r>
    </w:p>
    <w:p w14:paraId="76B4683C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课程内容的结构设计（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H）</w:t>
      </w:r>
    </w:p>
    <w:p w14:paraId="0F2946F1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课程结构的设计原理</w:t>
      </w:r>
    </w:p>
    <w:p w14:paraId="71AD674C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金字塔四大核心原则</w:t>
      </w:r>
    </w:p>
    <w:p w14:paraId="2460BE7B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课程结构的三点要求</w:t>
      </w:r>
    </w:p>
    <w:p w14:paraId="31ECBB6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课程内容常用的逻辑结构</w:t>
      </w:r>
    </w:p>
    <w:p w14:paraId="3742340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案例分析：消防安全课程体系结构优化练习</w:t>
      </w:r>
    </w:p>
    <w:p w14:paraId="2E782F81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教学大纲设计</w:t>
      </w:r>
    </w:p>
    <w:p w14:paraId="53C331E4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互动练习：三级教学大纲的设计与完善</w:t>
      </w:r>
    </w:p>
    <w:p w14:paraId="025DE35B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分享：常见的教学大纲设计问题有哪些？</w:t>
      </w:r>
    </w:p>
    <w:p w14:paraId="4ADA190D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章节标题的提炼方法</w:t>
      </w:r>
    </w:p>
    <w:p w14:paraId="66E7C045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63C80955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0C1AF2CD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00E14BB0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5E214EAA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7D84091F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课程内容的开发（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H）</w:t>
      </w:r>
    </w:p>
    <w:p w14:paraId="4D5EEAD7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工作任务分析法</w:t>
      </w:r>
    </w:p>
    <w:p w14:paraId="4D641F55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工作任务分析法的原理</w:t>
      </w:r>
    </w:p>
    <w:p w14:paraId="117EBF44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工作任务分解的方法</w:t>
      </w:r>
    </w:p>
    <w:p w14:paraId="467C4E26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问题分析目录树</w:t>
      </w:r>
    </w:p>
    <w:p w14:paraId="53D9B25B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以问题为导向的分析</w:t>
      </w:r>
    </w:p>
    <w:p w14:paraId="5DAF6871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解决问题的一般步骤</w:t>
      </w:r>
    </w:p>
    <w:p w14:paraId="619C2AA4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优秀经验萃取法</w:t>
      </w:r>
    </w:p>
    <w:p w14:paraId="61C9F141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经验萃取“四化”要求</w:t>
      </w:r>
    </w:p>
    <w:p w14:paraId="0A98B9B3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经验萃取STAR法</w:t>
      </w:r>
    </w:p>
    <w:p w14:paraId="215EE5FD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自主经验萃取工具表的应用</w:t>
      </w:r>
    </w:p>
    <w:p w14:paraId="1B393C6F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教学素材的收集</w:t>
      </w:r>
    </w:p>
    <w:p w14:paraId="7DD01E6D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素材的来源</w:t>
      </w:r>
    </w:p>
    <w:p w14:paraId="619D4A68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素材的收集</w:t>
      </w:r>
    </w:p>
    <w:p w14:paraId="69067D12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素材的取舍</w:t>
      </w:r>
    </w:p>
    <w:p w14:paraId="6886B4AB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color w:val="FF0000"/>
          <w:sz w:val="24"/>
          <w:szCs w:val="24"/>
        </w:rPr>
        <w:t>随堂练习&amp;指导：学员自有课程的三级教学大纲编写（</w:t>
      </w:r>
      <w:r>
        <w:rPr>
          <w:rFonts w:hint="eastAsia" w:ascii="宋体" w:hAnsi="宋体" w:eastAsia="宋体"/>
          <w:b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H</w:t>
      </w:r>
      <w:r>
        <w:rPr>
          <w:rFonts w:ascii="宋体" w:hAnsi="宋体" w:eastAsia="宋体"/>
          <w:b/>
          <w:color w:val="FF0000"/>
          <w:sz w:val="24"/>
          <w:szCs w:val="24"/>
        </w:rPr>
        <w:t>）</w:t>
      </w:r>
    </w:p>
    <w:p w14:paraId="47BC4307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第三部分 授课技巧与精彩呈现（3H）</w:t>
      </w:r>
    </w:p>
    <w:p w14:paraId="2AA669B2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基于学习体验的情景化教学设计</w:t>
      </w:r>
    </w:p>
    <w:p w14:paraId="0B72454D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学习体验设计思维</w:t>
      </w:r>
    </w:p>
    <w:p w14:paraId="1F31B202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LED学习体验设计</w:t>
      </w:r>
    </w:p>
    <w:p w14:paraId="1DAB82DD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教学设计的作用</w:t>
      </w:r>
    </w:p>
    <w:p w14:paraId="32E9709F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体验式学习的五个环节</w:t>
      </w:r>
    </w:p>
    <w:p w14:paraId="7C82C98B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学习</w:t>
      </w:r>
    </w:p>
    <w:p w14:paraId="1AC0C7EA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体验</w:t>
      </w:r>
    </w:p>
    <w:p w14:paraId="22423333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反馈</w:t>
      </w:r>
    </w:p>
    <w:p w14:paraId="17484EEE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评价</w:t>
      </w:r>
    </w:p>
    <w:p w14:paraId="2F9CE703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反思</w:t>
      </w:r>
    </w:p>
    <w:p w14:paraId="494170F7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教学设计五线谱法</w:t>
      </w:r>
    </w:p>
    <w:p w14:paraId="07A240AA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加涅九段教学法</w:t>
      </w:r>
    </w:p>
    <w:p w14:paraId="4C23015B">
      <w:pPr>
        <w:pStyle w:val="6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加涅教学法的总体思想</w:t>
      </w:r>
    </w:p>
    <w:p w14:paraId="38A46990">
      <w:pPr>
        <w:pStyle w:val="6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从心理学角度看学习过程</w:t>
      </w:r>
    </w:p>
    <w:p w14:paraId="1433C180">
      <w:pPr>
        <w:pStyle w:val="6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九大教学事件及举例</w:t>
      </w:r>
    </w:p>
    <w:p w14:paraId="093227C0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内训师讲台基本功修炼</w:t>
      </w:r>
    </w:p>
    <w:p w14:paraId="642B98AF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如何克服紧张</w:t>
      </w:r>
    </w:p>
    <w:p w14:paraId="778D6AA8">
      <w:pPr>
        <w:pStyle w:val="6"/>
        <w:numPr>
          <w:ilvl w:val="0"/>
          <w:numId w:val="3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谁都会紧张</w:t>
      </w:r>
    </w:p>
    <w:p w14:paraId="07419D41">
      <w:pPr>
        <w:pStyle w:val="6"/>
        <w:numPr>
          <w:ilvl w:val="0"/>
          <w:numId w:val="3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克服紧张的六种方法</w:t>
      </w:r>
    </w:p>
    <w:p w14:paraId="7B3A8194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声台形表的功夫</w:t>
      </w:r>
    </w:p>
    <w:p w14:paraId="0E8A0919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声：声音的训练（音准、音调、音量、音色）</w:t>
      </w:r>
    </w:p>
    <w:p w14:paraId="608BC126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台：对内容的熟悉程度、记忆情况</w:t>
      </w:r>
    </w:p>
    <w:p w14:paraId="6C7DAA11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形：着装、仪容仪表、形体、姿态、目光、表情</w:t>
      </w:r>
    </w:p>
    <w:p w14:paraId="2BF23128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表：语言的魅力、肢体动作、模仿等</w:t>
      </w:r>
    </w:p>
    <w:p w14:paraId="0554A36D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精彩开场四步曲</w:t>
      </w:r>
    </w:p>
    <w:p w14:paraId="506D0638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精彩有效的开场</w:t>
      </w:r>
    </w:p>
    <w:p w14:paraId="416E7589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学习动机的激发</w:t>
      </w:r>
    </w:p>
    <w:p w14:paraId="459FD4BF">
      <w:pPr>
        <w:pStyle w:val="6"/>
        <w:numPr>
          <w:ilvl w:val="0"/>
          <w:numId w:val="33"/>
        </w:numPr>
        <w:spacing w:line="360" w:lineRule="auto"/>
        <w:ind w:left="1560" w:hanging="37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什么是学习动机？其作用是什么？</w:t>
      </w:r>
    </w:p>
    <w:p w14:paraId="1FB18445">
      <w:pPr>
        <w:pStyle w:val="6"/>
        <w:numPr>
          <w:ilvl w:val="0"/>
          <w:numId w:val="33"/>
        </w:numPr>
        <w:spacing w:line="360" w:lineRule="auto"/>
        <w:ind w:left="1560" w:hanging="37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教学开场抑制学习动机的做法</w:t>
      </w:r>
    </w:p>
    <w:p w14:paraId="1E60DCC1">
      <w:pPr>
        <w:pStyle w:val="6"/>
        <w:numPr>
          <w:ilvl w:val="0"/>
          <w:numId w:val="33"/>
        </w:numPr>
        <w:spacing w:line="360" w:lineRule="auto"/>
        <w:ind w:left="1560" w:hanging="37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科勒动机理论ARCS模型</w:t>
      </w:r>
    </w:p>
    <w:p w14:paraId="1A0BFED3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精彩开场四步曲</w:t>
      </w:r>
    </w:p>
    <w:p w14:paraId="3730D82F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课程导入方法</w:t>
      </w:r>
    </w:p>
    <w:p w14:paraId="593B9907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经典SCQA法</w:t>
      </w:r>
    </w:p>
    <w:p w14:paraId="5E6A7A1B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PIP法</w:t>
      </w:r>
    </w:p>
    <w:p w14:paraId="35DB5279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观点、数据、故事等</w:t>
      </w:r>
    </w:p>
    <w:p w14:paraId="39F7BEAE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活动或教具导入</w:t>
      </w:r>
    </w:p>
    <w:p w14:paraId="705AE111">
      <w:pPr>
        <w:spacing w:line="360" w:lineRule="auto"/>
        <w:ind w:left="7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课堂练习：使用SCQA法三分钟内导入课程主题</w:t>
      </w:r>
    </w:p>
    <w:p w14:paraId="69792A6E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授课方法与互动技巧</w:t>
      </w:r>
    </w:p>
    <w:p w14:paraId="3145B730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教学方法的应用</w:t>
      </w:r>
    </w:p>
    <w:p w14:paraId="376A2AF8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因材施教的教学方法选择</w:t>
      </w:r>
    </w:p>
    <w:p w14:paraId="5E27CE7D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常用的三类基础教学方法</w:t>
      </w:r>
    </w:p>
    <w:p w14:paraId="6CE3054F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三类高阶教学方法的应用</w:t>
      </w:r>
    </w:p>
    <w:p w14:paraId="685DB578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提问的技巧</w:t>
      </w:r>
    </w:p>
    <w:p w14:paraId="6E07B1E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1）为什么要提问</w:t>
      </w:r>
    </w:p>
    <w:p w14:paraId="3841E28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2）问题的类型</w:t>
      </w:r>
    </w:p>
    <w:p w14:paraId="529C6AF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3）提问的四个步骤</w:t>
      </w:r>
    </w:p>
    <w:p w14:paraId="55C0BE0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4）回答的可能情形</w:t>
      </w:r>
    </w:p>
    <w:p w14:paraId="0933F8A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5）追问的技巧</w:t>
      </w:r>
    </w:p>
    <w:p w14:paraId="323FE275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课堂互动技巧百宝箱</w:t>
      </w:r>
    </w:p>
    <w:p w14:paraId="57DF8076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教具的使用</w:t>
      </w:r>
    </w:p>
    <w:p w14:paraId="3450268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1）白板书写</w:t>
      </w:r>
    </w:p>
    <w:p w14:paraId="01E2E5F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2）投影与电脑</w:t>
      </w:r>
    </w:p>
    <w:p w14:paraId="789CA47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3）麦克风</w:t>
      </w:r>
    </w:p>
    <w:p w14:paraId="2C5E7FD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4）翻页器</w:t>
      </w:r>
    </w:p>
    <w:p w14:paraId="405B296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5）其它道具</w:t>
      </w:r>
    </w:p>
    <w:p w14:paraId="04504D8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4、教学秩序的管控</w:t>
      </w:r>
    </w:p>
    <w:p w14:paraId="43D46C7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1）规则法</w:t>
      </w:r>
    </w:p>
    <w:p w14:paraId="58E0151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2）暗示法</w:t>
      </w:r>
    </w:p>
    <w:p w14:paraId="2796577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3）提醒法</w:t>
      </w:r>
    </w:p>
    <w:p w14:paraId="48861F1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4）激励法</w:t>
      </w:r>
    </w:p>
    <w:p w14:paraId="45D7E3AC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5）承诺法</w:t>
      </w:r>
    </w:p>
    <w:p w14:paraId="1F630D0E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教学回顾与教学迁移</w:t>
      </w:r>
    </w:p>
    <w:p w14:paraId="35F89D77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教学回顾环节设计</w:t>
      </w:r>
    </w:p>
    <w:p w14:paraId="1DBDADBB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回顾</w:t>
      </w:r>
    </w:p>
    <w:p w14:paraId="10BEAE10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重述</w:t>
      </w:r>
    </w:p>
    <w:p w14:paraId="7E284817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启发</w:t>
      </w:r>
    </w:p>
    <w:p w14:paraId="6A62A7F8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答疑</w:t>
      </w:r>
    </w:p>
    <w:p w14:paraId="65D2BA9F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几类不当的结尾方式</w:t>
      </w:r>
    </w:p>
    <w:p w14:paraId="604E4452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教学迁移的类型</w:t>
      </w:r>
    </w:p>
    <w:p w14:paraId="3441A804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因理解而迁移</w:t>
      </w:r>
    </w:p>
    <w:p w14:paraId="3A16CBF2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因总结而迁移</w:t>
      </w:r>
    </w:p>
    <w:p w14:paraId="43466C7D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因情景而迁移</w:t>
      </w:r>
    </w:p>
    <w:p w14:paraId="5A607A52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因同化而迁移</w:t>
      </w:r>
    </w:p>
    <w:p w14:paraId="2B90FC0B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整体课程回顾与总结、答疑</w:t>
      </w:r>
    </w:p>
    <w:p w14:paraId="4C39797A">
      <w:pPr>
        <w:pStyle w:val="6"/>
        <w:numPr>
          <w:numId w:val="0"/>
        </w:numPr>
        <w:spacing w:line="360" w:lineRule="auto"/>
        <w:ind w:leftChars="0"/>
        <w:rPr>
          <w:rFonts w:hint="eastAsia" w:ascii="宋体" w:hAnsi="宋体" w:eastAsia="宋体"/>
          <w:b/>
          <w:bCs/>
          <w:color w:val="FF0000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B38E4"/>
    <w:multiLevelType w:val="multilevel"/>
    <w:tmpl w:val="085B38E4"/>
    <w:lvl w:ilvl="0" w:tentative="0">
      <w:start w:val="1"/>
      <w:numFmt w:val="bullet"/>
      <w:lvlText w:val=""/>
      <w:lvlJc w:val="left"/>
      <w:pPr>
        <w:ind w:left="122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6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4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8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6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0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40"/>
      </w:pPr>
      <w:rPr>
        <w:rFonts w:hint="default" w:ascii="Wingdings" w:hAnsi="Wingdings"/>
      </w:rPr>
    </w:lvl>
  </w:abstractNum>
  <w:abstractNum w:abstractNumId="1">
    <w:nsid w:val="0A4C2C61"/>
    <w:multiLevelType w:val="multilevel"/>
    <w:tmpl w:val="0A4C2C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F86CFC"/>
    <w:multiLevelType w:val="multilevel"/>
    <w:tmpl w:val="0AF86CF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76560F"/>
    <w:multiLevelType w:val="multilevel"/>
    <w:tmpl w:val="0B76560F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">
    <w:nsid w:val="0E5E5D8F"/>
    <w:multiLevelType w:val="multilevel"/>
    <w:tmpl w:val="0E5E5D8F"/>
    <w:lvl w:ilvl="0" w:tentative="0">
      <w:start w:val="1"/>
      <w:numFmt w:val="bullet"/>
      <w:lvlText w:val=""/>
      <w:lvlJc w:val="left"/>
      <w:pPr>
        <w:ind w:left="158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02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6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0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4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2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6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100" w:hanging="440"/>
      </w:pPr>
      <w:rPr>
        <w:rFonts w:hint="default" w:ascii="Wingdings" w:hAnsi="Wingdings"/>
      </w:rPr>
    </w:lvl>
  </w:abstractNum>
  <w:abstractNum w:abstractNumId="5">
    <w:nsid w:val="100D7919"/>
    <w:multiLevelType w:val="multilevel"/>
    <w:tmpl w:val="100D791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A5978B9"/>
    <w:multiLevelType w:val="multilevel"/>
    <w:tmpl w:val="1A5978B9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7">
    <w:nsid w:val="1BC74757"/>
    <w:multiLevelType w:val="multilevel"/>
    <w:tmpl w:val="1BC74757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8">
    <w:nsid w:val="1FA65714"/>
    <w:multiLevelType w:val="multilevel"/>
    <w:tmpl w:val="1FA65714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abstractNum w:abstractNumId="9">
    <w:nsid w:val="20ED4981"/>
    <w:multiLevelType w:val="multilevel"/>
    <w:tmpl w:val="20ED498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0">
    <w:nsid w:val="22392C94"/>
    <w:multiLevelType w:val="multilevel"/>
    <w:tmpl w:val="22392C94"/>
    <w:lvl w:ilvl="0" w:tentative="0">
      <w:start w:val="1"/>
      <w:numFmt w:val="bullet"/>
      <w:lvlText w:val=""/>
      <w:lvlJc w:val="left"/>
      <w:pPr>
        <w:ind w:left="158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02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6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0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4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2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6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100" w:hanging="440"/>
      </w:pPr>
      <w:rPr>
        <w:rFonts w:hint="default" w:ascii="Wingdings" w:hAnsi="Wingdings"/>
      </w:rPr>
    </w:lvl>
  </w:abstractNum>
  <w:abstractNum w:abstractNumId="11">
    <w:nsid w:val="257E03B9"/>
    <w:multiLevelType w:val="multilevel"/>
    <w:tmpl w:val="257E03B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271A5C71"/>
    <w:multiLevelType w:val="multilevel"/>
    <w:tmpl w:val="271A5C71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3">
    <w:nsid w:val="27AD4CCA"/>
    <w:multiLevelType w:val="multilevel"/>
    <w:tmpl w:val="27AD4CCA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14">
    <w:nsid w:val="2A9E38FE"/>
    <w:multiLevelType w:val="multilevel"/>
    <w:tmpl w:val="2A9E38FE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5">
    <w:nsid w:val="2BB86B47"/>
    <w:multiLevelType w:val="multilevel"/>
    <w:tmpl w:val="2BB86B4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2D9F7043"/>
    <w:multiLevelType w:val="multilevel"/>
    <w:tmpl w:val="2D9F7043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abstractNum w:abstractNumId="17">
    <w:nsid w:val="30E15BF6"/>
    <w:multiLevelType w:val="multilevel"/>
    <w:tmpl w:val="30E15B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1292C9B"/>
    <w:multiLevelType w:val="multilevel"/>
    <w:tmpl w:val="31292C9B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9">
    <w:nsid w:val="31A6781B"/>
    <w:multiLevelType w:val="multilevel"/>
    <w:tmpl w:val="31A6781B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20">
    <w:nsid w:val="36330EAE"/>
    <w:multiLevelType w:val="multilevel"/>
    <w:tmpl w:val="36330EA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38850308"/>
    <w:multiLevelType w:val="multilevel"/>
    <w:tmpl w:val="3885030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2">
    <w:nsid w:val="3A336E19"/>
    <w:multiLevelType w:val="multilevel"/>
    <w:tmpl w:val="3A336E1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3">
    <w:nsid w:val="3B2830CE"/>
    <w:multiLevelType w:val="multilevel"/>
    <w:tmpl w:val="3B2830C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4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4D609CC"/>
    <w:multiLevelType w:val="multilevel"/>
    <w:tmpl w:val="44D609C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462A6BC1"/>
    <w:multiLevelType w:val="multilevel"/>
    <w:tmpl w:val="462A6B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7">
    <w:nsid w:val="4D9C18D0"/>
    <w:multiLevelType w:val="multilevel"/>
    <w:tmpl w:val="4D9C18D0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8">
    <w:nsid w:val="4E1245C1"/>
    <w:multiLevelType w:val="multilevel"/>
    <w:tmpl w:val="4E124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9">
    <w:nsid w:val="53A10ECD"/>
    <w:multiLevelType w:val="multilevel"/>
    <w:tmpl w:val="53A10ECD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0">
    <w:nsid w:val="5C3C3583"/>
    <w:multiLevelType w:val="multilevel"/>
    <w:tmpl w:val="5C3C3583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1">
    <w:nsid w:val="6A4F3988"/>
    <w:multiLevelType w:val="multilevel"/>
    <w:tmpl w:val="6A4F398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2">
    <w:nsid w:val="6A7D7D1E"/>
    <w:multiLevelType w:val="multilevel"/>
    <w:tmpl w:val="6A7D7D1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3">
    <w:nsid w:val="6C3A38CF"/>
    <w:multiLevelType w:val="multilevel"/>
    <w:tmpl w:val="6C3A38CF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4">
    <w:nsid w:val="731F455D"/>
    <w:multiLevelType w:val="multilevel"/>
    <w:tmpl w:val="731F455D"/>
    <w:lvl w:ilvl="0" w:tentative="0">
      <w:start w:val="1"/>
      <w:numFmt w:val="bullet"/>
      <w:lvlText w:val=""/>
      <w:lvlJc w:val="left"/>
      <w:pPr>
        <w:ind w:left="122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6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4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8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6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0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40"/>
      </w:pPr>
      <w:rPr>
        <w:rFonts w:hint="default" w:ascii="Wingdings" w:hAnsi="Wingdings"/>
      </w:rPr>
    </w:lvl>
  </w:abstractNum>
  <w:abstractNum w:abstractNumId="35">
    <w:nsid w:val="78371A5A"/>
    <w:multiLevelType w:val="multilevel"/>
    <w:tmpl w:val="78371A5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78A9362B"/>
    <w:multiLevelType w:val="multilevel"/>
    <w:tmpl w:val="78A9362B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abstractNum w:abstractNumId="37">
    <w:nsid w:val="7EAD7810"/>
    <w:multiLevelType w:val="multilevel"/>
    <w:tmpl w:val="7EAD7810"/>
    <w:lvl w:ilvl="0" w:tentative="0">
      <w:start w:val="1"/>
      <w:numFmt w:val="bullet"/>
      <w:lvlText w:val=""/>
      <w:lvlJc w:val="left"/>
      <w:pPr>
        <w:ind w:left="158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02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6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0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4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2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6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100" w:hanging="440"/>
      </w:pPr>
      <w:rPr>
        <w:rFonts w:hint="default" w:ascii="Wingdings" w:hAnsi="Wingdings"/>
      </w:rPr>
    </w:lvl>
  </w:abstractNum>
  <w:abstractNum w:abstractNumId="38">
    <w:nsid w:val="7FDE3F21"/>
    <w:multiLevelType w:val="multilevel"/>
    <w:tmpl w:val="7FDE3F2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1"/>
  </w:num>
  <w:num w:numId="3">
    <w:abstractNumId w:val="35"/>
  </w:num>
  <w:num w:numId="4">
    <w:abstractNumId w:val="30"/>
  </w:num>
  <w:num w:numId="5">
    <w:abstractNumId w:val="29"/>
  </w:num>
  <w:num w:numId="6">
    <w:abstractNumId w:val="32"/>
  </w:num>
  <w:num w:numId="7">
    <w:abstractNumId w:val="16"/>
  </w:num>
  <w:num w:numId="8">
    <w:abstractNumId w:val="36"/>
  </w:num>
  <w:num w:numId="9">
    <w:abstractNumId w:val="2"/>
  </w:num>
  <w:num w:numId="10">
    <w:abstractNumId w:val="17"/>
  </w:num>
  <w:num w:numId="11">
    <w:abstractNumId w:val="11"/>
  </w:num>
  <w:num w:numId="12">
    <w:abstractNumId w:val="18"/>
  </w:num>
  <w:num w:numId="13">
    <w:abstractNumId w:val="8"/>
  </w:num>
  <w:num w:numId="14">
    <w:abstractNumId w:val="19"/>
  </w:num>
  <w:num w:numId="15">
    <w:abstractNumId w:val="5"/>
  </w:num>
  <w:num w:numId="16">
    <w:abstractNumId w:val="6"/>
  </w:num>
  <w:num w:numId="17">
    <w:abstractNumId w:val="26"/>
  </w:num>
  <w:num w:numId="18">
    <w:abstractNumId w:val="28"/>
  </w:num>
  <w:num w:numId="19">
    <w:abstractNumId w:val="15"/>
  </w:num>
  <w:num w:numId="20">
    <w:abstractNumId w:val="12"/>
  </w:num>
  <w:num w:numId="21">
    <w:abstractNumId w:val="7"/>
  </w:num>
  <w:num w:numId="22">
    <w:abstractNumId w:val="22"/>
  </w:num>
  <w:num w:numId="23">
    <w:abstractNumId w:val="3"/>
  </w:num>
  <w:num w:numId="24">
    <w:abstractNumId w:val="38"/>
  </w:num>
  <w:num w:numId="25">
    <w:abstractNumId w:val="23"/>
  </w:num>
  <w:num w:numId="26">
    <w:abstractNumId w:val="10"/>
  </w:num>
  <w:num w:numId="27">
    <w:abstractNumId w:val="4"/>
  </w:num>
  <w:num w:numId="28">
    <w:abstractNumId w:val="37"/>
  </w:num>
  <w:num w:numId="29">
    <w:abstractNumId w:val="25"/>
  </w:num>
  <w:num w:numId="30">
    <w:abstractNumId w:val="31"/>
  </w:num>
  <w:num w:numId="31">
    <w:abstractNumId w:val="27"/>
  </w:num>
  <w:num w:numId="32">
    <w:abstractNumId w:val="33"/>
  </w:num>
  <w:num w:numId="33">
    <w:abstractNumId w:val="34"/>
  </w:num>
  <w:num w:numId="34">
    <w:abstractNumId w:val="14"/>
  </w:num>
  <w:num w:numId="35">
    <w:abstractNumId w:val="13"/>
  </w:num>
  <w:num w:numId="36">
    <w:abstractNumId w:val="0"/>
  </w:num>
  <w:num w:numId="37">
    <w:abstractNumId w:val="20"/>
  </w:num>
  <w:num w:numId="38">
    <w:abstractNumId w:val="21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A17FE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4E44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10294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23F27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57F2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3EE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A36C7"/>
    <w:rsid w:val="009C11B2"/>
    <w:rsid w:val="009C3F21"/>
    <w:rsid w:val="009C66E0"/>
    <w:rsid w:val="009D5B71"/>
    <w:rsid w:val="009D765A"/>
    <w:rsid w:val="009F4C8E"/>
    <w:rsid w:val="00A02885"/>
    <w:rsid w:val="00A03681"/>
    <w:rsid w:val="00A273FA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1495C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67C5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0F6F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58BB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35D89"/>
    <w:rsid w:val="00F42F0D"/>
    <w:rsid w:val="00F46A22"/>
    <w:rsid w:val="00F5126D"/>
    <w:rsid w:val="00F576E7"/>
    <w:rsid w:val="00F61F63"/>
    <w:rsid w:val="00F66098"/>
    <w:rsid w:val="00F663E3"/>
    <w:rsid w:val="00F6792D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17D8515C"/>
    <w:rsid w:val="368746DE"/>
    <w:rsid w:val="76F3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2209</Words>
  <Characters>2315</Characters>
  <Lines>14</Lines>
  <Paragraphs>4</Paragraphs>
  <TotalTime>2</TotalTime>
  <ScaleCrop>false</ScaleCrop>
  <LinksUpToDate>false</LinksUpToDate>
  <CharactersWithSpaces>2368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2024-08-20T16:14:00Z</dcterms:created>
  <dc:creator>wangfeihu</dc:creator>
  <cp:lastModifiedBy>张鹏 13418690759</cp:lastModifiedBy>
  <cp:lastPrinted>2015-11-16T09:16:00Z</cp:lastPrinted>
  <dcterms:modified xsi:type="dcterms:W3CDTF">2025-06-12T03:40:05Z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eyJoZGlkIjoiM2NiNDY1NTI4Y2I5ZjU2ZWU0MjBjZTQzZGVjNjJiY2QiLCJ1c2VySWQiOiIzMjc4MjA3NDkifQ==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4114CC2974244462BB9D6F026EFF1931_12</vt:lpwstr>
  </property>
</Properties>
</file>