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微软雅黑" w:hAnsi="微软雅黑" w:eastAsia="微软雅黑" w:cs="微软雅黑"/>
          <w:b/>
          <w:color w:val="auto"/>
          <w:kern w:val="44"/>
          <w:sz w:val="44"/>
          <w:szCs w:val="44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color w:val="auto"/>
          <w:kern w:val="44"/>
          <w:sz w:val="44"/>
          <w:szCs w:val="44"/>
          <w:lang w:val="en-US" w:eastAsia="zh-CN"/>
        </w:rPr>
        <w:t>银行结算业务风险分析及防范措施</w:t>
      </w:r>
    </w:p>
    <w:tbl>
      <w:tblPr>
        <w:tblStyle w:val="2"/>
        <w:tblW w:w="9065" w:type="dxa"/>
        <w:jc w:val="center"/>
        <w:tblBorders>
          <w:top w:val="single" w:color="E5B8B7" w:sz="8" w:space="0"/>
          <w:left w:val="single" w:color="E5B8B7" w:sz="8" w:space="0"/>
          <w:bottom w:val="single" w:color="E5B8B7" w:sz="8" w:space="0"/>
          <w:right w:val="single" w:color="E5B8B7" w:sz="8" w:space="0"/>
          <w:insideH w:val="single" w:color="E5B8B7" w:sz="8" w:space="0"/>
          <w:insideV w:val="single" w:color="E5B8B7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3"/>
        <w:gridCol w:w="6592"/>
      </w:tblGrid>
      <w:tr>
        <w:tblPrEx>
          <w:tblBorders>
            <w:top w:val="single" w:color="E5B8B7" w:sz="8" w:space="0"/>
            <w:left w:val="single" w:color="E5B8B7" w:sz="8" w:space="0"/>
            <w:bottom w:val="single" w:color="E5B8B7" w:sz="8" w:space="0"/>
            <w:right w:val="single" w:color="E5B8B7" w:sz="8" w:space="0"/>
            <w:insideH w:val="single" w:color="E5B8B7" w:sz="8" w:space="0"/>
            <w:insideV w:val="single" w:color="E5B8B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24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</w:rPr>
              <w:t>课程模块</w:t>
            </w:r>
          </w:p>
        </w:tc>
        <w:tc>
          <w:tcPr>
            <w:tcW w:w="6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模块</w:t>
            </w: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</w:rPr>
              <w:t>内容</w:t>
            </w:r>
          </w:p>
        </w:tc>
      </w:tr>
      <w:tr>
        <w:tblPrEx>
          <w:tblBorders>
            <w:top w:val="single" w:color="E5B8B7" w:sz="8" w:space="0"/>
            <w:left w:val="single" w:color="E5B8B7" w:sz="8" w:space="0"/>
            <w:bottom w:val="single" w:color="E5B8B7" w:sz="8" w:space="0"/>
            <w:right w:val="single" w:color="E5B8B7" w:sz="8" w:space="0"/>
            <w:insideH w:val="single" w:color="E5B8B7" w:sz="8" w:space="0"/>
            <w:insideV w:val="single" w:color="E5B8B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模块一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法律法规及监管要求</w:t>
            </w:r>
          </w:p>
        </w:tc>
        <w:tc>
          <w:tcPr>
            <w:tcW w:w="6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商业银行内部控制基本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规范。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中国银行业监督管理委员会对会计结算防范风险要求。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金融反洗钱规定。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金融机构大额交易和可疑交易报告规定</w:t>
            </w:r>
          </w:p>
        </w:tc>
      </w:tr>
      <w:tr>
        <w:tblPrEx>
          <w:tblBorders>
            <w:top w:val="single" w:color="E5B8B7" w:sz="8" w:space="0"/>
            <w:left w:val="single" w:color="E5B8B7" w:sz="8" w:space="0"/>
            <w:bottom w:val="single" w:color="E5B8B7" w:sz="8" w:space="0"/>
            <w:right w:val="single" w:color="E5B8B7" w:sz="8" w:space="0"/>
            <w:insideH w:val="single" w:color="E5B8B7" w:sz="8" w:space="0"/>
            <w:insideV w:val="single" w:color="E5B8B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模块二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结算风险全面管理</w:t>
            </w:r>
          </w:p>
        </w:tc>
        <w:tc>
          <w:tcPr>
            <w:tcW w:w="6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人员管理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会计主管委派制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金库管理人员管理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基层营业机构会计人员工作指引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支付结算管理（结合近阶段银行主要风险点）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单位人民币银行结算账户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票据业务管理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信用卡业务管理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理财业务管理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网银业务管理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银企对帐管理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现金管理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柜面现金业务管理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金库业务管理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风险内控管理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操作风险管理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操作风险的报告机制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新业务分险业务评估</w:t>
            </w:r>
          </w:p>
        </w:tc>
      </w:tr>
      <w:tr>
        <w:tblPrEx>
          <w:tblBorders>
            <w:top w:val="single" w:color="E5B8B7" w:sz="8" w:space="0"/>
            <w:left w:val="single" w:color="E5B8B7" w:sz="8" w:space="0"/>
            <w:bottom w:val="single" w:color="E5B8B7" w:sz="8" w:space="0"/>
            <w:right w:val="single" w:color="E5B8B7" w:sz="8" w:space="0"/>
            <w:insideH w:val="single" w:color="E5B8B7" w:sz="8" w:space="0"/>
            <w:insideV w:val="single" w:color="E5B8B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24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模块三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银行内部风险控制</w:t>
            </w:r>
          </w:p>
        </w:tc>
        <w:tc>
          <w:tcPr>
            <w:tcW w:w="6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风险的形式和成因案例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内部风险控制管理定位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内部风险控制的五大要素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内部控制环境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风险识别与评估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内部控制措施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监督评价与纠正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信息交流与反馈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内部风险控制管理的组织形式</w:t>
            </w:r>
          </w:p>
        </w:tc>
      </w:tr>
      <w:tr>
        <w:tblPrEx>
          <w:tblBorders>
            <w:top w:val="single" w:color="E5B8B7" w:sz="8" w:space="0"/>
            <w:left w:val="single" w:color="E5B8B7" w:sz="8" w:space="0"/>
            <w:bottom w:val="single" w:color="E5B8B7" w:sz="8" w:space="0"/>
            <w:right w:val="single" w:color="E5B8B7" w:sz="8" w:space="0"/>
            <w:insideH w:val="single" w:color="E5B8B7" w:sz="8" w:space="0"/>
            <w:insideV w:val="single" w:color="E5B8B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5" w:hRule="atLeast"/>
          <w:jc w:val="center"/>
        </w:trPr>
        <w:tc>
          <w:tcPr>
            <w:tcW w:w="24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模块四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结算业务操作风险原因和防范措施</w:t>
            </w:r>
          </w:p>
        </w:tc>
        <w:tc>
          <w:tcPr>
            <w:tcW w:w="6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结算风险是银行内部业务管理办法、操作流程、员工道德底线和外部事件等因素引发的。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网点重要岗位设置人员配备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会计结算操作风险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票据业务操作风险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信用卡业务操作风险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个贷业务操作风险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理财业务的操作风险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电子银行业务操作风险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新业务的操作风险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840" w:leftChars="0" w:right="0" w:rightChars="0" w:hanging="420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员工欺诈舞弊风险</w:t>
            </w:r>
          </w:p>
        </w:tc>
      </w:tr>
      <w:tr>
        <w:tblPrEx>
          <w:tblBorders>
            <w:top w:val="single" w:color="E5B8B7" w:sz="8" w:space="0"/>
            <w:left w:val="single" w:color="E5B8B7" w:sz="8" w:space="0"/>
            <w:bottom w:val="single" w:color="E5B8B7" w:sz="8" w:space="0"/>
            <w:right w:val="single" w:color="E5B8B7" w:sz="8" w:space="0"/>
            <w:insideH w:val="single" w:color="E5B8B7" w:sz="8" w:space="0"/>
            <w:insideV w:val="single" w:color="E5B8B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5" w:hRule="atLeast"/>
          <w:jc w:val="center"/>
        </w:trPr>
        <w:tc>
          <w:tcPr>
            <w:tcW w:w="24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模块五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结算业务内部控制的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基本方式</w:t>
            </w:r>
          </w:p>
        </w:tc>
        <w:tc>
          <w:tcPr>
            <w:tcW w:w="6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组织机构控制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职务分离控制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授权批准控制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人员素质控制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信息质量控制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财产安全控制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业务程序控制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内部审计控制</w:t>
            </w:r>
          </w:p>
        </w:tc>
      </w:tr>
      <w:tr>
        <w:tblPrEx>
          <w:tblBorders>
            <w:top w:val="single" w:color="E5B8B7" w:sz="8" w:space="0"/>
            <w:left w:val="single" w:color="E5B8B7" w:sz="8" w:space="0"/>
            <w:bottom w:val="single" w:color="E5B8B7" w:sz="8" w:space="0"/>
            <w:right w:val="single" w:color="E5B8B7" w:sz="8" w:space="0"/>
            <w:insideH w:val="single" w:color="E5B8B7" w:sz="8" w:space="0"/>
            <w:insideV w:val="single" w:color="E5B8B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模块六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业务风险防范的措施（管理上）</w:t>
            </w:r>
          </w:p>
        </w:tc>
        <w:tc>
          <w:tcPr>
            <w:tcW w:w="6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树立科学的发展观和正确的业绩观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加强制度的准确性、全面性、严密性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认真学习制度，严格执行制度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处理好内部控制与业务发展的关系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重视会计人员的队伍建设，加强会计人员管理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强化制度执行力，加大问责和考核力度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 xml:space="preserve">加强规章制度执行情况的检查，严格问责 </w:t>
            </w:r>
          </w:p>
        </w:tc>
      </w:tr>
      <w:tr>
        <w:tblPrEx>
          <w:tblBorders>
            <w:top w:val="single" w:color="E5B8B7" w:sz="8" w:space="0"/>
            <w:left w:val="single" w:color="E5B8B7" w:sz="8" w:space="0"/>
            <w:bottom w:val="single" w:color="E5B8B7" w:sz="8" w:space="0"/>
            <w:right w:val="single" w:color="E5B8B7" w:sz="8" w:space="0"/>
            <w:insideH w:val="single" w:color="E5B8B7" w:sz="8" w:space="0"/>
            <w:insideV w:val="single" w:color="E5B8B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  <w:jc w:val="center"/>
        </w:trPr>
        <w:tc>
          <w:tcPr>
            <w:tcW w:w="24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模块七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sz w:val="24"/>
                <w:szCs w:val="24"/>
                <w:lang w:eastAsia="zh-CN"/>
              </w:rPr>
              <w:t>加强业务风险防范的应该树立的几个观点</w:t>
            </w:r>
          </w:p>
        </w:tc>
        <w:tc>
          <w:tcPr>
            <w:tcW w:w="6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银行业机构防范操作风险三十禁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防范会计操作风险十三条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425" w:leftChars="0" w:right="0" w:rightChars="0" w:hanging="425" w:firstLineChars="0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</w:rPr>
              <w:t>基层营业网点会计人员十三准十三不准</w:t>
            </w:r>
          </w:p>
        </w:tc>
      </w:tr>
    </w:tbl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04AD9"/>
    <w:multiLevelType w:val="singleLevel"/>
    <w:tmpl w:val="56304AD9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1">
    <w:nsid w:val="57355037"/>
    <w:multiLevelType w:val="singleLevel"/>
    <w:tmpl w:val="57355037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57355283"/>
    <w:multiLevelType w:val="singleLevel"/>
    <w:tmpl w:val="57355283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58A3C670"/>
    <w:multiLevelType w:val="singleLevel"/>
    <w:tmpl w:val="58A3C670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>
    <w:nsid w:val="58A3C86B"/>
    <w:multiLevelType w:val="singleLevel"/>
    <w:tmpl w:val="58A3C86B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5">
    <w:nsid w:val="58A3C880"/>
    <w:multiLevelType w:val="singleLevel"/>
    <w:tmpl w:val="58A3C880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6">
    <w:nsid w:val="58A3C8CE"/>
    <w:multiLevelType w:val="singleLevel"/>
    <w:tmpl w:val="58A3C8CE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7">
    <w:nsid w:val="58F71F5E"/>
    <w:multiLevelType w:val="singleLevel"/>
    <w:tmpl w:val="58F71F5E"/>
    <w:lvl w:ilvl="0" w:tentative="0">
      <w:start w:val="1"/>
      <w:numFmt w:val="decimal"/>
      <w:lvlText w:val="%1.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5A1727"/>
    <w:rsid w:val="135A1727"/>
    <w:rsid w:val="5C2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left="200" w:leftChars="200"/>
      <w:jc w:val="both"/>
    </w:pPr>
    <w:rPr>
      <w:rFonts w:ascii="MingLiU" w:hAnsi="Calibri" w:eastAsia="MingLiU" w:cs="Times New Roman"/>
      <w:sz w:val="28"/>
      <w:szCs w:val="22"/>
      <w:lang w:val="en-US" w:eastAsia="zh-TW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2018-03-30T03:28:00Z</dcterms:created>
  <dc:creator>zhangjj</dc:creator>
  <cp:lastModifiedBy>百家经纪-郑景涛 13827493403</cp:lastModifiedBy>
  <dcterms:modified xsi:type="dcterms:W3CDTF">2020-06-11T06:27:00Z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