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color w:val="auto"/>
          <w:sz w:val="44"/>
          <w:szCs w:val="44"/>
        </w:rPr>
      </w:pPr>
      <w:r>
        <w:rPr>
          <w:rFonts w:hint="eastAsia" w:ascii="微软雅黑" w:hAnsi="微软雅黑" w:eastAsia="微软雅黑" w:cs="微软雅黑"/>
          <w:b/>
          <w:bCs/>
          <w:color w:val="auto"/>
          <w:sz w:val="44"/>
          <w:szCs w:val="44"/>
        </w:rPr>
        <w:t>内部控制与财务管理</w:t>
      </w:r>
    </w:p>
    <w:p>
      <w:pPr>
        <w:spacing w:before="100" w:beforeLines="0" w:beforeAutospacing="1" w:after="100" w:afterLines="0" w:afterAutospacing="1" w:line="480" w:lineRule="atLeast"/>
        <w:rPr>
          <w:rFonts w:hint="eastAsia" w:ascii="微软雅黑" w:hAnsi="微软雅黑" w:eastAsia="微软雅黑" w:cs="微软雅黑"/>
          <w:b/>
          <w:bCs/>
          <w:color w:val="auto"/>
          <w:kern w:val="44"/>
          <w:sz w:val="24"/>
          <w:szCs w:val="24"/>
        </w:rPr>
      </w:pPr>
      <w:r>
        <w:rPr>
          <w:rFonts w:hint="eastAsia" w:ascii="微软雅黑" w:hAnsi="微软雅黑" w:eastAsia="微软雅黑" w:cs="微软雅黑"/>
          <w:b/>
          <w:bCs/>
          <w:color w:val="auto"/>
          <w:kern w:val="44"/>
          <w:sz w:val="24"/>
          <w:szCs w:val="24"/>
        </w:rPr>
        <w:t>为何学习：</w:t>
      </w:r>
    </w:p>
    <w:p>
      <w:pPr>
        <w:spacing w:before="100" w:beforeLines="0" w:beforeAutospacing="1" w:after="100" w:afterLines="0" w:afterAutospacing="1" w:line="480" w:lineRule="atLeas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企业内部控制的最高目标是是增</w:t>
      </w:r>
      <w:bookmarkStart w:id="0" w:name="_GoBack"/>
      <w:bookmarkEnd w:id="0"/>
      <w:r>
        <w:rPr>
          <w:rFonts w:hint="eastAsia" w:ascii="微软雅黑" w:hAnsi="微软雅黑" w:eastAsia="微软雅黑" w:cs="微软雅黑"/>
          <w:color w:val="auto"/>
          <w:sz w:val="24"/>
          <w:szCs w:val="24"/>
        </w:rPr>
        <w:t>加企业的价值， 提高财务报告的可靠性， 如何实现企业内部控制， 风险管理、财务管理与预算管理的一体化， 正是本课程的核心目标， 本课程对于提高中高级管人员的风险，财务与预算管理技能具有重大意义</w:t>
      </w:r>
    </w:p>
    <w:p>
      <w:pPr>
        <w:spacing w:before="100" w:beforeLines="0" w:beforeAutospacing="1" w:after="100" w:afterLines="0" w:afterAutospacing="1" w:line="480" w:lineRule="atLeast"/>
        <w:rPr>
          <w:rFonts w:hint="eastAsia" w:ascii="微软雅黑" w:hAnsi="微软雅黑" w:eastAsia="微软雅黑" w:cs="微软雅黑"/>
          <w:b/>
          <w:bCs/>
          <w:color w:val="auto"/>
          <w:kern w:val="44"/>
          <w:sz w:val="24"/>
          <w:szCs w:val="24"/>
        </w:rPr>
      </w:pPr>
      <w:r>
        <w:rPr>
          <w:rFonts w:hint="eastAsia" w:ascii="微软雅黑" w:hAnsi="微软雅黑" w:eastAsia="微软雅黑" w:cs="微软雅黑"/>
          <w:b/>
          <w:bCs/>
          <w:color w:val="auto"/>
          <w:kern w:val="44"/>
          <w:sz w:val="24"/>
          <w:szCs w:val="24"/>
        </w:rPr>
        <w:t>课程亮点：</w:t>
      </w:r>
    </w:p>
    <w:p>
      <w:pPr>
        <w:rPr>
          <w:rFonts w:hint="eastAsia" w:ascii="微软雅黑" w:hAnsi="微软雅黑" w:eastAsia="微软雅黑" w:cs="微软雅黑"/>
          <w:b/>
          <w:color w:val="auto"/>
          <w:sz w:val="24"/>
          <w:szCs w:val="24"/>
        </w:rPr>
      </w:pP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体系高度完善集成</w:t>
      </w: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细分模块自成体系</w:t>
      </w: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实际操作案例丰富</w:t>
      </w: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最新内部控制的实践</w:t>
      </w: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企业风险管理的最新发展</w:t>
      </w: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SOX的法案内容</w:t>
      </w: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解决实际问题</w:t>
      </w:r>
    </w:p>
    <w:p>
      <w:pPr>
        <w:numPr>
          <w:ilvl w:val="0"/>
          <w:numId w:val="1"/>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学员可以参与讨论</w:t>
      </w:r>
    </w:p>
    <w:p>
      <w:pPr>
        <w:ind w:left="360"/>
        <w:rPr>
          <w:rFonts w:hint="eastAsia" w:ascii="微软雅黑" w:hAnsi="微软雅黑" w:eastAsia="微软雅黑" w:cs="微软雅黑"/>
          <w:color w:val="auto"/>
          <w:sz w:val="24"/>
          <w:szCs w:val="24"/>
        </w:rPr>
      </w:pP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b/>
          <w:bCs/>
          <w:color w:val="auto"/>
          <w:kern w:val="44"/>
          <w:sz w:val="24"/>
          <w:szCs w:val="24"/>
        </w:rPr>
        <w:t xml:space="preserve">课程收益：  </w:t>
      </w:r>
      <w:r>
        <w:rPr>
          <w:rFonts w:hint="eastAsia" w:ascii="微软雅黑" w:hAnsi="微软雅黑" w:eastAsia="微软雅黑" w:cs="微软雅黑"/>
          <w:color w:val="auto"/>
          <w:sz w:val="24"/>
          <w:szCs w:val="24"/>
        </w:rPr>
        <w:t xml:space="preserve">    </w:t>
      </w:r>
    </w:p>
    <w:p>
      <w:pPr>
        <w:rPr>
          <w:rFonts w:hint="eastAsia" w:ascii="微软雅黑" w:hAnsi="微软雅黑" w:eastAsia="微软雅黑" w:cs="微软雅黑"/>
          <w:b/>
          <w:color w:val="auto"/>
          <w:sz w:val="24"/>
          <w:szCs w:val="24"/>
        </w:rPr>
      </w:pP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保证企业人、财、物与信息流的安全</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保证信息客观、完整和持久</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保证企业制度和经营决策的实施有效</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保证公司运作的效率与效果</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控制企业的风险与回报</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财务目标与内部控制目标的高度统一</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系统的财务分析方法</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系统的预算管理方法</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掌握先进的内部控制、风险管理、内部审计</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掌握快速诊断企业内部控制缺陷的方法，评价内部控制的效果并进行改进</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通过企业运作中的典型实例帮助学员明确主要业务活动中的控制要点、控制标准和控制方法</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掌握连锁企业主要税务问题的实务操作要点与处理技巧，规避税务风险</w:t>
      </w:r>
    </w:p>
    <w:p>
      <w:pPr>
        <w:numPr>
          <w:ilvl w:val="0"/>
          <w:numId w:val="2"/>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掌握连锁企业相关税种税务风险的自查方法，做到涉税零风险</w:t>
      </w:r>
    </w:p>
    <w:p>
      <w:pPr>
        <w:numPr>
          <w:ilvl w:val="0"/>
          <w:numId w:val="0"/>
        </w:numPr>
        <w:ind w:left="360" w:leftChars="0"/>
        <w:rPr>
          <w:rFonts w:hint="eastAsia" w:ascii="微软雅黑" w:hAnsi="微软雅黑" w:eastAsia="微软雅黑" w:cs="微软雅黑"/>
          <w:color w:val="auto"/>
          <w:sz w:val="24"/>
          <w:szCs w:val="24"/>
        </w:rPr>
      </w:pPr>
    </w:p>
    <w:p>
      <w:pPr>
        <w:rPr>
          <w:rFonts w:hint="eastAsia" w:ascii="微软雅黑" w:hAnsi="微软雅黑" w:eastAsia="微软雅黑" w:cs="微软雅黑"/>
          <w:b/>
          <w:bCs/>
          <w:color w:val="auto"/>
          <w:kern w:val="44"/>
          <w:sz w:val="24"/>
          <w:szCs w:val="24"/>
        </w:rPr>
      </w:pPr>
      <w:r>
        <w:rPr>
          <w:rFonts w:hint="eastAsia" w:ascii="微软雅黑" w:hAnsi="微软雅黑" w:eastAsia="微软雅黑" w:cs="微软雅黑"/>
          <w:b/>
          <w:bCs/>
          <w:color w:val="auto"/>
          <w:kern w:val="44"/>
          <w:sz w:val="24"/>
          <w:szCs w:val="24"/>
        </w:rPr>
        <w:t>培训对象：</w:t>
      </w:r>
    </w:p>
    <w:p>
      <w:pPr>
        <w:rPr>
          <w:rFonts w:hint="eastAsia" w:ascii="微软雅黑" w:hAnsi="微软雅黑" w:eastAsia="微软雅黑" w:cs="微软雅黑"/>
          <w:b/>
          <w:color w:val="auto"/>
          <w:sz w:val="24"/>
          <w:szCs w:val="24"/>
        </w:rPr>
      </w:pP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负责财务的副总、财务总监、负责内部审计的财务人员、财务经理、高级会计、财务分析</w:t>
      </w:r>
    </w:p>
    <w:p>
      <w:pPr>
        <w:rPr>
          <w:rFonts w:hint="eastAsia" w:ascii="微软雅黑" w:hAnsi="微软雅黑" w:eastAsia="微软雅黑" w:cs="微软雅黑"/>
          <w:b/>
          <w:bCs/>
          <w:color w:val="auto"/>
          <w:kern w:val="44"/>
          <w:sz w:val="24"/>
          <w:szCs w:val="24"/>
        </w:rPr>
      </w:pPr>
    </w:p>
    <w:p>
      <w:pPr>
        <w:rPr>
          <w:rFonts w:hint="eastAsia" w:ascii="微软雅黑" w:hAnsi="微软雅黑" w:eastAsia="微软雅黑" w:cs="微软雅黑"/>
          <w:b/>
          <w:bCs/>
          <w:color w:val="auto"/>
          <w:kern w:val="44"/>
          <w:sz w:val="24"/>
          <w:szCs w:val="24"/>
        </w:rPr>
      </w:pPr>
    </w:p>
    <w:p>
      <w:pPr>
        <w:rPr>
          <w:rFonts w:hint="eastAsia" w:ascii="微软雅黑" w:hAnsi="微软雅黑" w:eastAsia="微软雅黑" w:cs="微软雅黑"/>
          <w:b/>
          <w:bCs/>
          <w:color w:val="auto"/>
          <w:kern w:val="44"/>
          <w:sz w:val="24"/>
          <w:szCs w:val="24"/>
        </w:rPr>
      </w:pPr>
    </w:p>
    <w:p>
      <w:pPr>
        <w:rPr>
          <w:rFonts w:hint="eastAsia" w:ascii="微软雅黑" w:hAnsi="微软雅黑" w:eastAsia="微软雅黑" w:cs="微软雅黑"/>
          <w:b/>
          <w:bCs/>
          <w:color w:val="auto"/>
          <w:kern w:val="44"/>
          <w:sz w:val="24"/>
          <w:szCs w:val="24"/>
        </w:rPr>
      </w:pPr>
      <w:r>
        <w:rPr>
          <w:rFonts w:hint="eastAsia" w:ascii="微软雅黑" w:hAnsi="微软雅黑" w:eastAsia="微软雅黑" w:cs="微软雅黑"/>
          <w:b/>
          <w:bCs/>
          <w:color w:val="auto"/>
          <w:kern w:val="44"/>
          <w:sz w:val="24"/>
          <w:szCs w:val="24"/>
        </w:rPr>
        <w:t>培训大纲：</w:t>
      </w:r>
    </w:p>
    <w:p>
      <w:pP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第一部分 引言：缺乏内部控制的企业常见原因分析</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对内部控制相关理论的全面介绍</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什么是COSO?COSO的内部控制整合框架包括哪些内容?</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企业发展的基石——内部控制的核心观念</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内部控制的局限性-成本效益原则及其它</w:t>
      </w:r>
    </w:p>
    <w:p>
      <w:pPr>
        <w:rPr>
          <w:rFonts w:hint="eastAsia" w:ascii="微软雅黑" w:hAnsi="微软雅黑" w:eastAsia="微软雅黑" w:cs="微软雅黑"/>
          <w:b/>
          <w:bCs/>
          <w:color w:val="auto"/>
          <w:sz w:val="24"/>
          <w:szCs w:val="24"/>
        </w:rPr>
      </w:pPr>
    </w:p>
    <w:p>
      <w:pP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第二部分 控制环境在企业的表现</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何为控制环境——内部控制的基础</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如何建立良好的控制环境</w:t>
      </w:r>
    </w:p>
    <w:p>
      <w:pPr>
        <w:rPr>
          <w:rFonts w:hint="eastAsia" w:ascii="微软雅黑" w:hAnsi="微软雅黑" w:eastAsia="微软雅黑" w:cs="微软雅黑"/>
          <w:b/>
          <w:color w:val="auto"/>
          <w:sz w:val="24"/>
          <w:szCs w:val="24"/>
          <w:lang w:val="en-US" w:eastAsia="zh-CN"/>
        </w:rPr>
      </w:pPr>
    </w:p>
    <w:p>
      <w:pPr>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lang w:val="en-US" w:eastAsia="zh-CN"/>
        </w:rPr>
        <w:t xml:space="preserve">第三部门  </w:t>
      </w:r>
      <w:r>
        <w:rPr>
          <w:rFonts w:hint="eastAsia" w:ascii="微软雅黑" w:hAnsi="微软雅黑" w:eastAsia="微软雅黑" w:cs="微软雅黑"/>
          <w:b/>
          <w:color w:val="auto"/>
          <w:sz w:val="24"/>
          <w:szCs w:val="24"/>
        </w:rPr>
        <w:t>内部控制目标</w:t>
      </w:r>
    </w:p>
    <w:p>
      <w:pPr>
        <w:numPr>
          <w:ilvl w:val="0"/>
          <w:numId w:val="3"/>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内部控制系统目标</w:t>
      </w:r>
    </w:p>
    <w:p>
      <w:pPr>
        <w:numPr>
          <w:ilvl w:val="0"/>
          <w:numId w:val="3"/>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内部控制框架构成与17个要素</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3、实施内部控制的步骤与方法</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4、企业风险管理的最新内容</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 xml:space="preserve">  </w:t>
      </w:r>
      <w:r>
        <w:rPr>
          <w:rFonts w:hint="eastAsia" w:ascii="微软雅黑" w:hAnsi="微软雅黑" w:eastAsia="微软雅黑" w:cs="微软雅黑"/>
          <w:color w:val="auto"/>
          <w:sz w:val="24"/>
          <w:szCs w:val="24"/>
        </w:rPr>
        <w:t>5、SOX法案的基本内容</w:t>
      </w:r>
    </w:p>
    <w:p>
      <w:pPr>
        <w:numPr>
          <w:ilvl w:val="0"/>
          <w:numId w:val="0"/>
        </w:numPr>
        <w:rPr>
          <w:rFonts w:hint="eastAsia" w:ascii="微软雅黑" w:hAnsi="微软雅黑" w:eastAsia="微软雅黑" w:cs="微软雅黑"/>
          <w:b/>
          <w:color w:val="auto"/>
          <w:sz w:val="24"/>
          <w:szCs w:val="24"/>
          <w:lang w:eastAsia="zh-CN"/>
        </w:rPr>
      </w:pPr>
    </w:p>
    <w:p>
      <w:pPr>
        <w:numPr>
          <w:ilvl w:val="0"/>
          <w:numId w:val="0"/>
        </w:numPr>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lang w:eastAsia="zh-CN"/>
        </w:rPr>
        <w:t>第四部分</w:t>
      </w:r>
      <w:r>
        <w:rPr>
          <w:rFonts w:hint="eastAsia" w:ascii="微软雅黑" w:hAnsi="微软雅黑" w:eastAsia="微软雅黑" w:cs="微软雅黑"/>
          <w:b/>
          <w:color w:val="auto"/>
          <w:sz w:val="24"/>
          <w:szCs w:val="24"/>
          <w:lang w:val="en-US" w:eastAsia="zh-CN"/>
        </w:rPr>
        <w:t xml:space="preserve">  </w:t>
      </w:r>
      <w:r>
        <w:rPr>
          <w:rFonts w:hint="eastAsia" w:ascii="微软雅黑" w:hAnsi="微软雅黑" w:eastAsia="微软雅黑" w:cs="微软雅黑"/>
          <w:b/>
          <w:color w:val="auto"/>
          <w:sz w:val="24"/>
          <w:szCs w:val="24"/>
        </w:rPr>
        <w:t>流程控制</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1、目标：保证物流、人、信息流与资金流的安全</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2、流程图：</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3、管理业务关联循环与控制关键点</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人的进出：组织结构与人员素质控制</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物的进：采购申报、授权审批程序及授权、验收与记录</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物的出：销售订单、授权审批、发货及记录</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退货处理</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钱进：债权确认、收税与入账、折扣</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钱出：债务的确认、付税审批与记录</w:t>
      </w:r>
    </w:p>
    <w:p>
      <w:pPr>
        <w:ind w:left="210" w:leftChars="100"/>
        <w:rPr>
          <w:rFonts w:hint="eastAsia" w:ascii="微软雅黑" w:hAnsi="微软雅黑" w:eastAsia="微软雅黑" w:cs="微软雅黑"/>
          <w:color w:val="auto"/>
          <w:sz w:val="24"/>
          <w:szCs w:val="24"/>
        </w:rPr>
      </w:pPr>
    </w:p>
    <w:p>
      <w:pP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w:t>
      </w:r>
      <w:r>
        <w:rPr>
          <w:rFonts w:hint="eastAsia" w:ascii="微软雅黑" w:hAnsi="微软雅黑" w:eastAsia="微软雅黑" w:cs="微软雅黑"/>
          <w:b/>
          <w:bCs/>
          <w:color w:val="auto"/>
          <w:sz w:val="24"/>
          <w:szCs w:val="24"/>
          <w:lang w:eastAsia="zh-CN"/>
        </w:rPr>
        <w:t>五</w:t>
      </w:r>
      <w:r>
        <w:rPr>
          <w:rFonts w:hint="eastAsia" w:ascii="微软雅黑" w:hAnsi="微软雅黑" w:eastAsia="微软雅黑" w:cs="微软雅黑"/>
          <w:b/>
          <w:bCs/>
          <w:color w:val="auto"/>
          <w:sz w:val="24"/>
          <w:szCs w:val="24"/>
        </w:rPr>
        <w:t>部分 内控的建立和执行：内控体系建立和执行的五个阶段</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如何确定和分解目标</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如何识别风险</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如何建立控制政策：二维表、流程图、文字描述</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如何有效执行内控</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如何监督内控的执行状况：执行过程中的监督和独立的评估</w:t>
      </w:r>
    </w:p>
    <w:p>
      <w:pPr>
        <w:ind w:firstLine="480" w:firstLineChars="200"/>
        <w:rPr>
          <w:rFonts w:hint="eastAsia" w:ascii="微软雅黑" w:hAnsi="微软雅黑" w:eastAsia="微软雅黑" w:cs="微软雅黑"/>
          <w:color w:val="auto"/>
          <w:sz w:val="24"/>
          <w:szCs w:val="24"/>
        </w:rPr>
      </w:pPr>
    </w:p>
    <w:p>
      <w:pPr>
        <w:rPr>
          <w:rFonts w:hint="eastAsia" w:ascii="微软雅黑" w:hAnsi="微软雅黑" w:eastAsia="微软雅黑" w:cs="微软雅黑"/>
          <w:b/>
          <w:bCs/>
          <w:color w:val="auto"/>
          <w:sz w:val="24"/>
          <w:szCs w:val="24"/>
        </w:rPr>
      </w:pPr>
    </w:p>
    <w:p>
      <w:pP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w:t>
      </w:r>
      <w:r>
        <w:rPr>
          <w:rFonts w:hint="eastAsia" w:ascii="微软雅黑" w:hAnsi="微软雅黑" w:eastAsia="微软雅黑" w:cs="微软雅黑"/>
          <w:b/>
          <w:bCs/>
          <w:color w:val="auto"/>
          <w:sz w:val="24"/>
          <w:szCs w:val="24"/>
          <w:lang w:eastAsia="zh-CN"/>
        </w:rPr>
        <w:t>六</w:t>
      </w:r>
      <w:r>
        <w:rPr>
          <w:rFonts w:hint="eastAsia" w:ascii="微软雅黑" w:hAnsi="微软雅黑" w:eastAsia="微软雅黑" w:cs="微软雅黑"/>
          <w:b/>
          <w:bCs/>
          <w:color w:val="auto"/>
          <w:sz w:val="24"/>
          <w:szCs w:val="24"/>
        </w:rPr>
        <w:t>部分 内部控制活动如何管理风险</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常见的内部控制活动有哪些</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如何做到职责分离?</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IT总体控制</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 预防性控制和检查性控制</w:t>
      </w:r>
    </w:p>
    <w:p>
      <w:pPr>
        <w:ind w:firstLine="480" w:firstLineChars="200"/>
        <w:rPr>
          <w:rFonts w:hint="eastAsia" w:ascii="微软雅黑" w:hAnsi="微软雅黑" w:eastAsia="微软雅黑" w:cs="微软雅黑"/>
          <w:color w:val="auto"/>
          <w:sz w:val="24"/>
          <w:szCs w:val="24"/>
        </w:rPr>
      </w:pPr>
    </w:p>
    <w:p>
      <w:pPr>
        <w:ind w:left="210" w:leftChars="100"/>
        <w:rPr>
          <w:rFonts w:hint="eastAsia" w:ascii="微软雅黑" w:hAnsi="微软雅黑" w:eastAsia="微软雅黑" w:cs="微软雅黑"/>
          <w:color w:val="auto"/>
          <w:sz w:val="24"/>
          <w:szCs w:val="24"/>
        </w:rPr>
      </w:pPr>
    </w:p>
    <w:p>
      <w:pPr>
        <w:numPr>
          <w:ilvl w:val="0"/>
          <w:numId w:val="0"/>
        </w:numPr>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lang w:eastAsia="zh-CN"/>
        </w:rPr>
        <w:t>第七部分</w:t>
      </w:r>
      <w:r>
        <w:rPr>
          <w:rFonts w:hint="eastAsia" w:ascii="微软雅黑" w:hAnsi="微软雅黑" w:eastAsia="微软雅黑" w:cs="微软雅黑"/>
          <w:b/>
          <w:color w:val="auto"/>
          <w:sz w:val="24"/>
          <w:szCs w:val="24"/>
          <w:lang w:val="en-US" w:eastAsia="zh-CN"/>
        </w:rPr>
        <w:t xml:space="preserve">  </w:t>
      </w:r>
      <w:r>
        <w:rPr>
          <w:rFonts w:hint="eastAsia" w:ascii="微软雅黑" w:hAnsi="微软雅黑" w:eastAsia="微软雅黑" w:cs="微软雅黑"/>
          <w:b/>
          <w:color w:val="auto"/>
          <w:sz w:val="24"/>
          <w:szCs w:val="24"/>
        </w:rPr>
        <w:t>从内部审计看内部控制</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1、内部审计与内部控制的关系</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2、内部审计与内部控制的方法</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3、优秀审计师的工作方法</w:t>
      </w:r>
    </w:p>
    <w:p>
      <w:pPr>
        <w:rPr>
          <w:rFonts w:hint="eastAsia" w:ascii="微软雅黑" w:hAnsi="微软雅黑" w:eastAsia="微软雅黑" w:cs="微软雅黑"/>
          <w:b/>
          <w:color w:val="auto"/>
          <w:sz w:val="24"/>
          <w:szCs w:val="24"/>
        </w:rPr>
      </w:pPr>
      <w:r>
        <w:rPr>
          <w:rFonts w:hint="eastAsia" w:ascii="微软雅黑" w:hAnsi="微软雅黑" w:eastAsia="微软雅黑" w:cs="微软雅黑"/>
          <w:color w:val="auto"/>
          <w:sz w:val="24"/>
          <w:szCs w:val="24"/>
        </w:rPr>
        <w:t xml:space="preserve">     </w:t>
      </w:r>
    </w:p>
    <w:p>
      <w:pPr>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lang w:eastAsia="zh-CN"/>
        </w:rPr>
        <w:t>第八部分</w:t>
      </w:r>
      <w:r>
        <w:rPr>
          <w:rFonts w:hint="eastAsia" w:ascii="微软雅黑" w:hAnsi="微软雅黑" w:eastAsia="微软雅黑" w:cs="微软雅黑"/>
          <w:b/>
          <w:color w:val="auto"/>
          <w:sz w:val="24"/>
          <w:szCs w:val="24"/>
          <w:lang w:val="en-US" w:eastAsia="zh-CN"/>
        </w:rPr>
        <w:t xml:space="preserve">  </w:t>
      </w:r>
      <w:r>
        <w:rPr>
          <w:rFonts w:hint="eastAsia" w:ascii="微软雅黑" w:hAnsi="微软雅黑" w:eastAsia="微软雅黑" w:cs="微软雅黑"/>
          <w:b/>
          <w:color w:val="auto"/>
          <w:sz w:val="24"/>
          <w:szCs w:val="24"/>
        </w:rPr>
        <w:t>控制的财务基础</w:t>
      </w:r>
    </w:p>
    <w:p>
      <w:pPr>
        <w:numPr>
          <w:ilvl w:val="0"/>
          <w:numId w:val="4"/>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财务运作体系与控制核心</w:t>
      </w:r>
    </w:p>
    <w:p>
      <w:pPr>
        <w:numPr>
          <w:ilvl w:val="0"/>
          <w:numId w:val="4"/>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财务结构分析的重点</w:t>
      </w:r>
    </w:p>
    <w:p>
      <w:pPr>
        <w:numPr>
          <w:ilvl w:val="0"/>
          <w:numId w:val="4"/>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营运资本分析</w:t>
      </w:r>
    </w:p>
    <w:p>
      <w:pPr>
        <w:numPr>
          <w:ilvl w:val="0"/>
          <w:numId w:val="4"/>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财务预警机制的建立</w:t>
      </w:r>
    </w:p>
    <w:p>
      <w:pPr>
        <w:numPr>
          <w:ilvl w:val="0"/>
          <w:numId w:val="4"/>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Z分值模型</w:t>
      </w:r>
    </w:p>
    <w:p>
      <w:pPr>
        <w:numPr>
          <w:ilvl w:val="0"/>
          <w:numId w:val="0"/>
        </w:numPr>
        <w:ind w:left="180" w:leftChars="0"/>
        <w:rPr>
          <w:rFonts w:hint="eastAsia" w:ascii="微软雅黑" w:hAnsi="微软雅黑" w:eastAsia="微软雅黑" w:cs="微软雅黑"/>
          <w:color w:val="auto"/>
          <w:sz w:val="24"/>
          <w:szCs w:val="24"/>
        </w:rPr>
      </w:pPr>
    </w:p>
    <w:p>
      <w:pPr>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lang w:eastAsia="zh-CN"/>
        </w:rPr>
        <w:t>第九部分</w:t>
      </w:r>
      <w:r>
        <w:rPr>
          <w:rFonts w:hint="eastAsia" w:ascii="微软雅黑" w:hAnsi="微软雅黑" w:eastAsia="微软雅黑" w:cs="微软雅黑"/>
          <w:b/>
          <w:color w:val="auto"/>
          <w:sz w:val="24"/>
          <w:szCs w:val="24"/>
          <w:lang w:val="en-US" w:eastAsia="zh-CN"/>
        </w:rPr>
        <w:t xml:space="preserve"> </w:t>
      </w:r>
      <w:r>
        <w:rPr>
          <w:rFonts w:hint="eastAsia" w:ascii="微软雅黑" w:hAnsi="微软雅黑" w:eastAsia="微软雅黑" w:cs="微软雅黑"/>
          <w:b/>
          <w:color w:val="auto"/>
          <w:sz w:val="24"/>
          <w:szCs w:val="24"/>
        </w:rPr>
        <w:t>全面预算管理</w:t>
      </w:r>
    </w:p>
    <w:p>
      <w:pPr>
        <w:numPr>
          <w:ilvl w:val="0"/>
          <w:numId w:val="5"/>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预算在控制体系中的地位与作用</w:t>
      </w:r>
    </w:p>
    <w:p>
      <w:pPr>
        <w:numPr>
          <w:ilvl w:val="0"/>
          <w:numId w:val="5"/>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预算体系与编制逻辑</w:t>
      </w:r>
    </w:p>
    <w:p>
      <w:pPr>
        <w:numPr>
          <w:ilvl w:val="0"/>
          <w:numId w:val="5"/>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预算编制的方法：零基预算、固定预算、弹性预算、滚动预算与业务预测</w:t>
      </w:r>
    </w:p>
    <w:p>
      <w:pPr>
        <w:numPr>
          <w:ilvl w:val="0"/>
          <w:numId w:val="5"/>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最主要的预算：销售预算、生产预算、资本预算与财务预算</w:t>
      </w:r>
    </w:p>
    <w:p>
      <w:pPr>
        <w:numPr>
          <w:ilvl w:val="0"/>
          <w:numId w:val="5"/>
        </w:num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预算管理与控制</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预算构建的协调与沟通</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预算的执行</w:t>
      </w:r>
    </w:p>
    <w:p>
      <w:pPr>
        <w:ind w:left="210" w:leftChars="1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预算的跟踪</w:t>
      </w:r>
    </w:p>
    <w:p>
      <w:pPr>
        <w:rPr>
          <w:rFonts w:hint="eastAsia" w:ascii="微软雅黑" w:hAnsi="微软雅黑" w:eastAsia="微软雅黑" w:cs="微软雅黑"/>
          <w:b/>
          <w:color w:val="auto"/>
          <w:sz w:val="24"/>
          <w:szCs w:val="24"/>
          <w:lang w:val="en-US" w:eastAsia="zh-CN"/>
        </w:rPr>
      </w:pPr>
    </w:p>
    <w:p>
      <w:pPr>
        <w:rPr>
          <w:rFonts w:hint="eastAsia" w:ascii="微软雅黑" w:hAnsi="微软雅黑" w:eastAsia="微软雅黑" w:cs="微软雅黑"/>
          <w:b/>
          <w:color w:val="auto"/>
          <w:sz w:val="24"/>
          <w:szCs w:val="24"/>
          <w:lang w:val="en-US" w:eastAsia="zh-CN"/>
        </w:rPr>
      </w:pPr>
      <w:r>
        <w:rPr>
          <w:rFonts w:hint="eastAsia" w:ascii="微软雅黑" w:hAnsi="微软雅黑" w:eastAsia="微软雅黑" w:cs="微软雅黑"/>
          <w:b/>
          <w:color w:val="auto"/>
          <w:sz w:val="24"/>
          <w:szCs w:val="24"/>
          <w:lang w:val="en-US" w:eastAsia="zh-CN"/>
        </w:rPr>
        <w:t>第十部分  企业增值税税务实务与纳税筹划</w:t>
      </w:r>
    </w:p>
    <w:p>
      <w:pPr>
        <w:rPr>
          <w:rFonts w:hint="eastAsia" w:ascii="微软雅黑" w:hAnsi="微软雅黑" w:eastAsia="微软雅黑" w:cs="微软雅黑"/>
          <w:b/>
          <w:color w:val="auto"/>
          <w:sz w:val="24"/>
          <w:szCs w:val="24"/>
          <w:lang w:eastAsia="zh-CN"/>
        </w:rPr>
      </w:pPr>
      <w:r>
        <w:rPr>
          <w:rFonts w:hint="eastAsia" w:ascii="微软雅黑" w:hAnsi="微软雅黑" w:eastAsia="微软雅黑" w:cs="微软雅黑"/>
          <w:b/>
          <w:color w:val="auto"/>
          <w:sz w:val="24"/>
          <w:szCs w:val="24"/>
          <w:lang w:val="en-US" w:eastAsia="zh-CN"/>
        </w:rPr>
        <w:t>1、</w:t>
      </w:r>
      <w:r>
        <w:rPr>
          <w:rFonts w:hint="eastAsia" w:ascii="微软雅黑" w:hAnsi="微软雅黑" w:eastAsia="微软雅黑" w:cs="微软雅黑"/>
          <w:b/>
          <w:color w:val="auto"/>
          <w:sz w:val="24"/>
          <w:szCs w:val="24"/>
          <w:lang w:eastAsia="zh-CN"/>
        </w:rPr>
        <w:t>增值税纳税处理和注意事项</w:t>
      </w:r>
    </w:p>
    <w:p>
      <w:pPr>
        <w:rPr>
          <w:rFonts w:hint="eastAsia" w:ascii="微软雅黑" w:hAnsi="微软雅黑" w:eastAsia="微软雅黑" w:cs="微软雅黑"/>
          <w:color w:val="auto"/>
          <w:sz w:val="24"/>
          <w:szCs w:val="24"/>
        </w:rPr>
      </w:pPr>
      <w:r>
        <w:rPr>
          <w:rFonts w:hint="eastAsia" w:ascii="微软雅黑" w:hAnsi="微软雅黑" w:eastAsia="微软雅黑" w:cs="微软雅黑"/>
          <w:b w:val="0"/>
          <w:bCs/>
          <w:color w:val="auto"/>
          <w:sz w:val="24"/>
          <w:szCs w:val="24"/>
          <w:lang w:eastAsia="zh-CN"/>
        </w:rPr>
        <w:t xml:space="preserve">1）收入确认与增值税纳税时间的处理技巧  </w:t>
      </w:r>
      <w:r>
        <w:rPr>
          <w:rFonts w:hint="eastAsia" w:ascii="微软雅黑" w:hAnsi="微软雅黑" w:eastAsia="微软雅黑" w:cs="微软雅黑"/>
          <w:b w:val="0"/>
          <w:bCs/>
          <w:color w:val="auto"/>
          <w:sz w:val="24"/>
          <w:szCs w:val="24"/>
        </w:rPr>
        <w:t xml:space="preserve"> </w:t>
      </w:r>
      <w:r>
        <w:rPr>
          <w:rFonts w:hint="eastAsia" w:ascii="微软雅黑" w:hAnsi="微软雅黑" w:eastAsia="微软雅黑" w:cs="微软雅黑"/>
          <w:color w:val="auto"/>
          <w:sz w:val="24"/>
          <w:szCs w:val="24"/>
        </w:rPr>
        <w:t xml:space="preserve">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2）开具增值税专用发票的最新规定</w:t>
      </w:r>
    </w:p>
    <w:p>
      <w:pPr>
        <w:widowControl/>
        <w:numPr>
          <w:ilvl w:val="0"/>
          <w:numId w:val="6"/>
        </w:numPr>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增值税纳税期限的规定                    </w:t>
      </w:r>
    </w:p>
    <w:p>
      <w:pPr>
        <w:widowControl/>
        <w:numPr>
          <w:ilvl w:val="0"/>
          <w:numId w:val="0"/>
        </w:numPr>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4）进项税额抵扣范围及其注意事项</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5）混合销售与兼营销售</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val="en-US" w:eastAsia="zh-CN"/>
        </w:rPr>
        <w:t>2、</w:t>
      </w:r>
      <w:r>
        <w:rPr>
          <w:rFonts w:hint="eastAsia" w:ascii="微软雅黑" w:hAnsi="微软雅黑" w:eastAsia="微软雅黑" w:cs="微软雅黑"/>
          <w:b/>
          <w:bCs/>
          <w:color w:val="auto"/>
          <w:sz w:val="24"/>
          <w:szCs w:val="24"/>
        </w:rPr>
        <w:t>增值税纳税筹划案例</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1）增值税纳税人身份纳税筹划案例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2）采购业务纳税筹划案例</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3）销售方式纳税筹划案例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4）委托代销纳税筹划案例</w:t>
      </w:r>
    </w:p>
    <w:p>
      <w:pPr>
        <w:widowControl/>
        <w:spacing w:line="360" w:lineRule="auto"/>
        <w:jc w:val="left"/>
        <w:rPr>
          <w:rFonts w:hint="eastAsia" w:ascii="微软雅黑" w:hAnsi="微软雅黑" w:eastAsia="微软雅黑" w:cs="微软雅黑"/>
          <w:b/>
          <w:bCs w:val="0"/>
          <w:color w:val="auto"/>
          <w:kern w:val="2"/>
          <w:sz w:val="24"/>
          <w:szCs w:val="24"/>
          <w:lang w:val="en-US" w:eastAsia="zh-CN" w:bidi="ar-SA"/>
        </w:rPr>
      </w:pPr>
    </w:p>
    <w:p>
      <w:pPr>
        <w:widowControl/>
        <w:spacing w:line="360" w:lineRule="auto"/>
        <w:jc w:val="left"/>
        <w:rPr>
          <w:rFonts w:hint="eastAsia" w:ascii="微软雅黑" w:hAnsi="微软雅黑" w:eastAsia="微软雅黑" w:cs="微软雅黑"/>
          <w:b/>
          <w:bCs w:val="0"/>
          <w:color w:val="auto"/>
          <w:kern w:val="2"/>
          <w:sz w:val="24"/>
          <w:szCs w:val="24"/>
          <w:lang w:val="en-US" w:eastAsia="zh-CN" w:bidi="ar-SA"/>
        </w:rPr>
      </w:pPr>
      <w:r>
        <w:rPr>
          <w:rFonts w:hint="eastAsia" w:ascii="微软雅黑" w:hAnsi="微软雅黑" w:eastAsia="微软雅黑" w:cs="微软雅黑"/>
          <w:b/>
          <w:bCs w:val="0"/>
          <w:color w:val="auto"/>
          <w:kern w:val="2"/>
          <w:sz w:val="24"/>
          <w:szCs w:val="24"/>
          <w:lang w:val="en-US" w:eastAsia="zh-CN" w:bidi="ar-SA"/>
        </w:rPr>
        <w:t>第十一部分  企业营业税税务实务与纳税筹划</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val="en-US" w:eastAsia="zh-CN"/>
        </w:rPr>
        <w:t>1、</w:t>
      </w:r>
      <w:r>
        <w:rPr>
          <w:rFonts w:hint="eastAsia" w:ascii="微软雅黑" w:hAnsi="微软雅黑" w:eastAsia="微软雅黑" w:cs="微软雅黑"/>
          <w:b/>
          <w:bCs/>
          <w:color w:val="auto"/>
          <w:sz w:val="24"/>
          <w:szCs w:val="24"/>
        </w:rPr>
        <w:t>营业税纳税处理和注意事项</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1）营业税的特点与相关基本政策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2）营业税纳税期限与纳税地点</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color w:val="auto"/>
          <w:sz w:val="24"/>
          <w:szCs w:val="24"/>
        </w:rPr>
        <w:t>3）特定业务营业税的计算</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val="en-US" w:eastAsia="zh-CN"/>
        </w:rPr>
        <w:t>2、</w:t>
      </w:r>
      <w:r>
        <w:rPr>
          <w:rFonts w:hint="eastAsia" w:ascii="微软雅黑" w:hAnsi="微软雅黑" w:eastAsia="微软雅黑" w:cs="微软雅黑"/>
          <w:b/>
          <w:bCs/>
          <w:color w:val="auto"/>
          <w:sz w:val="24"/>
          <w:szCs w:val="24"/>
        </w:rPr>
        <w:t>营业税纳税筹划案例</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1）销售方式纳税筹划案例</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2）转让无形资产与销售不动产业务纳税筹划案例</w:t>
      </w:r>
    </w:p>
    <w:p>
      <w:pPr>
        <w:widowControl/>
        <w:spacing w:line="360" w:lineRule="auto"/>
        <w:jc w:val="left"/>
        <w:rPr>
          <w:rFonts w:hint="eastAsia" w:ascii="微软雅黑" w:hAnsi="微软雅黑" w:eastAsia="微软雅黑" w:cs="微软雅黑"/>
          <w:color w:val="auto"/>
          <w:sz w:val="24"/>
          <w:szCs w:val="24"/>
          <w:lang w:eastAsia="zh-CN"/>
        </w:rPr>
      </w:pP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eastAsia="zh-CN"/>
        </w:rPr>
        <w:t>第十二部分</w:t>
      </w:r>
      <w:r>
        <w:rPr>
          <w:rFonts w:hint="eastAsia" w:ascii="微软雅黑" w:hAnsi="微软雅黑" w:eastAsia="微软雅黑" w:cs="微软雅黑"/>
          <w:b/>
          <w:bCs/>
          <w:color w:val="auto"/>
          <w:sz w:val="24"/>
          <w:szCs w:val="24"/>
        </w:rPr>
        <w:t>、企业所得税税务实务与纳税筹划</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val="en-US" w:eastAsia="zh-CN"/>
        </w:rPr>
        <w:t>1、</w:t>
      </w:r>
      <w:r>
        <w:rPr>
          <w:rFonts w:hint="eastAsia" w:ascii="微软雅黑" w:hAnsi="微软雅黑" w:eastAsia="微软雅黑" w:cs="微软雅黑"/>
          <w:b/>
          <w:bCs/>
          <w:color w:val="auto"/>
          <w:sz w:val="24"/>
          <w:szCs w:val="24"/>
        </w:rPr>
        <w:t>企业所得税纳税处理和注意事项</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1）居民企业和非居民企业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2）税率与应纳税所得额</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3）相关税收优惠政策解读与应用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4）资产损失的处理</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5）亏损弥补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6）所得税汇算清缴的处理</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val="en-US" w:eastAsia="zh-CN"/>
        </w:rPr>
        <w:t>2、</w:t>
      </w:r>
      <w:r>
        <w:rPr>
          <w:rFonts w:hint="eastAsia" w:ascii="微软雅黑" w:hAnsi="微软雅黑" w:eastAsia="微软雅黑" w:cs="微软雅黑"/>
          <w:b/>
          <w:bCs/>
          <w:color w:val="auto"/>
          <w:sz w:val="24"/>
          <w:szCs w:val="24"/>
        </w:rPr>
        <w:t>企业所得税纳税筹划案例</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1）销售收入纳税筹划案例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2）成本费用纳税筹划案例</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val="en-US" w:eastAsia="zh-CN"/>
        </w:rPr>
        <w:t>3、</w:t>
      </w:r>
      <w:r>
        <w:rPr>
          <w:rFonts w:hint="eastAsia" w:ascii="微软雅黑" w:hAnsi="微软雅黑" w:eastAsia="微软雅黑" w:cs="微软雅黑"/>
          <w:b/>
          <w:bCs/>
          <w:color w:val="auto"/>
          <w:sz w:val="24"/>
          <w:szCs w:val="24"/>
        </w:rPr>
        <w:t>个人所得税税务实务与纳税筹划</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1）工资薪金所得法规解读及实务操作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2）劳务报酬所得法规解读及实务操作</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3）股息、利息、红利所得法规解读及实务操作     </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4）个人所得税纳税筹划案例</w:t>
      </w:r>
    </w:p>
    <w:p>
      <w:pPr>
        <w:widowControl/>
        <w:spacing w:line="360" w:lineRule="auto"/>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lang w:val="en-US" w:eastAsia="zh-CN"/>
        </w:rPr>
        <w:t>4</w:t>
      </w:r>
      <w:r>
        <w:rPr>
          <w:rFonts w:hint="eastAsia" w:ascii="微软雅黑" w:hAnsi="微软雅黑" w:eastAsia="微软雅黑" w:cs="微软雅黑"/>
          <w:b/>
          <w:bCs/>
          <w:color w:val="auto"/>
          <w:sz w:val="24"/>
          <w:szCs w:val="24"/>
        </w:rPr>
        <w:t>、企业特殊税收政策解读与实务操作</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1）平销返利业务的税务处理</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2）销售折扣、销售折让、销货退回的处理与发票开具</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3）连锁分支机构间移送货物的税务处理</w:t>
      </w:r>
    </w:p>
    <w:p>
      <w:pPr>
        <w:widowControl/>
        <w:spacing w:line="360" w:lineRule="auto"/>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4）正常损失与非正常损失的税务处理</w:t>
      </w:r>
    </w:p>
    <w:p>
      <w:pPr>
        <w:widowControl/>
        <w:spacing w:line="360" w:lineRule="auto"/>
        <w:jc w:val="left"/>
        <w:rPr>
          <w:rFonts w:hint="eastAsia" w:ascii="微软雅黑" w:hAnsi="微软雅黑" w:eastAsia="微软雅黑" w:cs="微软雅黑"/>
          <w:color w:val="auto"/>
          <w:sz w:val="24"/>
          <w:szCs w:val="24"/>
        </w:rPr>
      </w:pPr>
    </w:p>
    <w:p>
      <w:pPr>
        <w:rPr>
          <w:rFonts w:hint="eastAsia" w:ascii="微软雅黑" w:hAnsi="微软雅黑" w:eastAsia="微软雅黑" w:cs="微软雅黑"/>
          <w:color w:val="auto"/>
          <w:sz w:val="24"/>
          <w:szCs w:val="24"/>
          <w:lang w:val="en-US" w:eastAsia="zh-CN"/>
        </w:rPr>
      </w:pPr>
    </w:p>
    <w:p>
      <w:pPr>
        <w:rPr>
          <w:rFonts w:hint="eastAsia" w:ascii="微软雅黑" w:hAnsi="微软雅黑" w:eastAsia="微软雅黑" w:cs="微软雅黑"/>
          <w:color w:val="auto"/>
          <w:sz w:val="24"/>
          <w:szCs w:val="24"/>
          <w:lang w:val="en-US" w:eastAsia="zh-CN"/>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宋体"/>
        <w:lang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3"/>
      <w:numFmt w:val="decimal"/>
      <w:suff w:val="nothing"/>
      <w:lvlText w:val="%1）"/>
      <w:lvlJc w:val="left"/>
    </w:lvl>
  </w:abstractNum>
  <w:abstractNum w:abstractNumId="1">
    <w:nsid w:val="00000001"/>
    <w:multiLevelType w:val="multilevel"/>
    <w:tmpl w:val="00000001"/>
    <w:lvl w:ilvl="0" w:tentative="0">
      <w:start w:val="1"/>
      <w:numFmt w:val="decimal"/>
      <w:lvlText w:val="%1、"/>
      <w:lvlJc w:val="left"/>
      <w:pPr>
        <w:tabs>
          <w:tab w:val="left" w:pos="780"/>
        </w:tabs>
        <w:ind w:left="780" w:hanging="420"/>
      </w:pPr>
      <w:rPr>
        <w:rFonts w:hint="default"/>
        <w:b w:val="0"/>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2">
    <w:nsid w:val="00000002"/>
    <w:multiLevelType w:val="multilevel"/>
    <w:tmpl w:val="00000002"/>
    <w:lvl w:ilvl="0" w:tentative="0">
      <w:start w:val="1"/>
      <w:numFmt w:val="decimal"/>
      <w:lvlText w:val="%1、"/>
      <w:lvlJc w:val="left"/>
      <w:pPr>
        <w:tabs>
          <w:tab w:val="left" w:pos="780"/>
        </w:tabs>
        <w:ind w:left="780" w:hanging="42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3">
    <w:nsid w:val="00000004"/>
    <w:multiLevelType w:val="multilevel"/>
    <w:tmpl w:val="00000004"/>
    <w:lvl w:ilvl="0" w:tentative="0">
      <w:start w:val="1"/>
      <w:numFmt w:val="decimal"/>
      <w:lvlText w:val="%1、"/>
      <w:lvlJc w:val="left"/>
      <w:pPr>
        <w:tabs>
          <w:tab w:val="left" w:pos="600"/>
        </w:tabs>
        <w:ind w:left="600" w:hanging="420"/>
      </w:pPr>
      <w:rPr>
        <w:rFonts w:hint="default"/>
        <w:b w:val="0"/>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4">
    <w:nsid w:val="0000000D"/>
    <w:multiLevelType w:val="multilevel"/>
    <w:tmpl w:val="0000000D"/>
    <w:lvl w:ilvl="0" w:tentative="0">
      <w:start w:val="1"/>
      <w:numFmt w:val="decimal"/>
      <w:lvlText w:val="%1、"/>
      <w:lvlJc w:val="left"/>
      <w:pPr>
        <w:tabs>
          <w:tab w:val="left" w:pos="600"/>
        </w:tabs>
        <w:ind w:left="600" w:hanging="420"/>
      </w:pPr>
      <w:rPr>
        <w:rFonts w:hint="default"/>
        <w:b w:val="0"/>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5">
    <w:nsid w:val="0000000F"/>
    <w:multiLevelType w:val="multilevel"/>
    <w:tmpl w:val="0000000F"/>
    <w:lvl w:ilvl="0" w:tentative="0">
      <w:start w:val="1"/>
      <w:numFmt w:val="decimal"/>
      <w:lvlText w:val="%1、"/>
      <w:lvlJc w:val="left"/>
      <w:pPr>
        <w:tabs>
          <w:tab w:val="left" w:pos="600"/>
        </w:tabs>
        <w:ind w:left="600" w:hanging="420"/>
      </w:pPr>
      <w:rPr>
        <w:rFonts w:hint="default"/>
        <w:b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832600"/>
    <w:rsid w:val="68832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2020-06-11T06:31:00Z</dcterms:created>
  <dc:creator>百家经纪-郑景涛 13827493403</dc:creator>
  <cp:lastModifiedBy>百家经纪-郑景涛 13827493403</cp:lastModifiedBy>
  <dcterms:modified xsi:type="dcterms:W3CDTF">2020-06-11T06:33:58Z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