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79C1" w14:textId="77777777" w:rsidR="00AB1857" w:rsidRDefault="0000000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班组长职业化素养提升</w:t>
      </w:r>
    </w:p>
    <w:p w14:paraId="19F0DAE0" w14:textId="77777777" w:rsidR="00AB1857" w:rsidRDefault="00AB1857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8097D4B" w14:textId="77777777" w:rsidR="00AB1857" w:rsidRDefault="00000000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2F188FBF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【课程背景】</w:t>
      </w:r>
    </w:p>
    <w:p w14:paraId="5C4F62A2" w14:textId="77777777" w:rsidR="00AB1857" w:rsidRDefault="0000000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作为一名一线管理岗位的班组长，我们对日常专业性和事务性的工作已经熟练掌握，但无论是从公司要求的角度，还是从自我成长进步的角度，我们都有进一步成长的需要。尤其是在面对工作任务和挑战时，如何有效地提升自己的责任心和担当力；在面对工作挫折或团队成员之间冲突时，如何有效地调节好自己的情绪；在需要跨部门或上级沟通协调时，如何有效地提升自己的正向影响力，这些能力就显得尤为重要。</w:t>
      </w:r>
      <w:r>
        <w:rPr>
          <w:rFonts w:ascii="微软雅黑" w:eastAsia="微软雅黑" w:hAnsi="微软雅黑"/>
          <w:sz w:val="24"/>
        </w:rPr>
        <w:t xml:space="preserve"> </w:t>
      </w:r>
    </w:p>
    <w:p w14:paraId="6C87CF4B" w14:textId="77777777" w:rsidR="00AB1857" w:rsidRDefault="00000000">
      <w:pPr>
        <w:spacing w:line="360" w:lineRule="auto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班组长职业化素养的提升，核心就是培养班组长的自我管理和团队组织协调沟通的能力。本次课程以管理心理学和组织行为学为基础，围绕正确的管理目标制定、管理者的统筹规划、问题分析与解决以及赋能式沟通能力培养四个方面展开，全面提升班组长的职业素养，从而最大限度地发挥出团队潜能，提升组织绩效。</w:t>
      </w:r>
    </w:p>
    <w:p w14:paraId="31286669" w14:textId="77777777" w:rsidR="00AB1857" w:rsidRDefault="00AB185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75ED8EDA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358E30B1" w14:textId="77777777" w:rsidR="00AB1857" w:rsidRDefault="00000000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树立对职业化素养的正确认知</w:t>
      </w:r>
    </w:p>
    <w:p w14:paraId="2AEEB491" w14:textId="77777777" w:rsidR="00AB1857" w:rsidRDefault="00000000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学习并掌握正确的目标制定方法</w:t>
      </w:r>
    </w:p>
    <w:p w14:paraId="2291F658" w14:textId="77777777" w:rsidR="00AB1857" w:rsidRDefault="00000000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有针对性地提升自己在工作中的统筹规划能力</w:t>
      </w:r>
    </w:p>
    <w:p w14:paraId="54A45560" w14:textId="77777777" w:rsidR="00AB1857" w:rsidRDefault="00000000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通过沟通与协调技能的训练，提升自己的团队管理能力</w:t>
      </w:r>
    </w:p>
    <w:p w14:paraId="3F6C21B0" w14:textId="77777777" w:rsidR="00AB1857" w:rsidRDefault="00000000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树立管理者正确的人生观和价值观（廉洁奉公、利他奉献）</w:t>
      </w:r>
    </w:p>
    <w:p w14:paraId="3255204D" w14:textId="77777777" w:rsidR="00AB1857" w:rsidRDefault="00AB185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6C4E8C4" w14:textId="77777777" w:rsidR="00AB1857" w:rsidRDefault="00000000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4B2262EC" w14:textId="77777777" w:rsidR="00AB1857" w:rsidRDefault="00000000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高速公路收费站一线班组长人员</w:t>
      </w:r>
    </w:p>
    <w:p w14:paraId="0139C8A9" w14:textId="77777777" w:rsidR="00AB1857" w:rsidRDefault="00AB1857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20D3B577" w14:textId="77777777" w:rsidR="00AB1857" w:rsidRDefault="00000000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>
        <w:rPr>
          <w:rFonts w:ascii="微软雅黑" w:eastAsia="微软雅黑" w:hAnsi="微软雅黑" w:hint="eastAsia"/>
          <w:sz w:val="24"/>
          <w:szCs w:val="24"/>
        </w:rPr>
        <w:t>1天（6小时）</w:t>
      </w:r>
    </w:p>
    <w:p w14:paraId="74E5674D" w14:textId="77777777" w:rsidR="00AB1857" w:rsidRDefault="00AB1857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FB8EED9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4AFAC10" w14:textId="77777777" w:rsidR="00AB1857" w:rsidRDefault="00000000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3268A241" w14:textId="77777777" w:rsidR="00AB1857" w:rsidRDefault="00000000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2、风趣的讲授风格，快乐的互动提问，</w:t>
      </w:r>
      <w:r>
        <w:rPr>
          <w:rFonts w:ascii="微软雅黑" w:eastAsia="微软雅黑" w:hAnsi="微软雅黑" w:hint="eastAsia"/>
          <w:sz w:val="24"/>
        </w:rPr>
        <w:t>开启寓教于乐的互动式教学模式</w:t>
      </w:r>
    </w:p>
    <w:p w14:paraId="7325532E" w14:textId="77777777" w:rsidR="00AB1857" w:rsidRDefault="00000000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、案例讨论，配合及时的点评反馈，加深大家对所学知识的领悟</w:t>
      </w:r>
    </w:p>
    <w:p w14:paraId="79F4F50F" w14:textId="77777777" w:rsidR="00AB1857" w:rsidRDefault="00000000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456A2946" w14:textId="77777777" w:rsidR="00AB1857" w:rsidRDefault="00AB185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14BE40C4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61C76CFA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开场破冰：开启轻松愉悦的课程氛围</w:t>
      </w:r>
    </w:p>
    <w:p w14:paraId="3AACA17D" w14:textId="77777777" w:rsidR="00AB1857" w:rsidRDefault="00000000">
      <w:pPr>
        <w:spacing w:line="360" w:lineRule="auto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第一讲：如何正确理解一线管理者的职业化素养</w:t>
      </w:r>
    </w:p>
    <w:p w14:paraId="0BBC1D1E" w14:textId="77777777" w:rsidR="00AB1857" w:rsidRDefault="00000000">
      <w:pPr>
        <w:widowControl/>
        <w:numPr>
          <w:ilvl w:val="0"/>
          <w:numId w:val="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职场中的四种人</w:t>
      </w:r>
    </w:p>
    <w:p w14:paraId="4AB5C02B" w14:textId="77777777" w:rsidR="00AB1857" w:rsidRDefault="00000000">
      <w:pPr>
        <w:widowControl/>
        <w:numPr>
          <w:ilvl w:val="0"/>
          <w:numId w:val="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无想法，无行动——放弃者</w:t>
      </w:r>
    </w:p>
    <w:p w14:paraId="399A1B45" w14:textId="77777777" w:rsidR="00AB1857" w:rsidRDefault="00000000">
      <w:pPr>
        <w:widowControl/>
        <w:numPr>
          <w:ilvl w:val="0"/>
          <w:numId w:val="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无想法，有行动——蛮干者</w:t>
      </w:r>
    </w:p>
    <w:p w14:paraId="68150440" w14:textId="77777777" w:rsidR="00AB1857" w:rsidRDefault="00000000">
      <w:pPr>
        <w:widowControl/>
        <w:numPr>
          <w:ilvl w:val="0"/>
          <w:numId w:val="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有想法，无行动——抱怨者</w:t>
      </w:r>
    </w:p>
    <w:p w14:paraId="0950F175" w14:textId="77777777" w:rsidR="00AB1857" w:rsidRDefault="00000000">
      <w:pPr>
        <w:widowControl/>
        <w:numPr>
          <w:ilvl w:val="0"/>
          <w:numId w:val="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有想法，有行动——成长者</w:t>
      </w:r>
    </w:p>
    <w:p w14:paraId="014BBFB1" w14:textId="77777777" w:rsidR="00AB1857" w:rsidRDefault="00000000">
      <w:pPr>
        <w:widowControl/>
        <w:numPr>
          <w:ilvl w:val="0"/>
          <w:numId w:val="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具备职业化素养的具体表现特征</w:t>
      </w:r>
    </w:p>
    <w:p w14:paraId="5205A6E4" w14:textId="77777777" w:rsidR="00AB1857" w:rsidRDefault="00000000">
      <w:pPr>
        <w:widowControl/>
        <w:numPr>
          <w:ilvl w:val="0"/>
          <w:numId w:val="3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良好的自我和他人情绪的觉察能力（察言观色）</w:t>
      </w:r>
    </w:p>
    <w:p w14:paraId="3DE05E82" w14:textId="77777777" w:rsidR="00AB1857" w:rsidRDefault="00000000">
      <w:pPr>
        <w:widowControl/>
        <w:numPr>
          <w:ilvl w:val="0"/>
          <w:numId w:val="3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具备良好的心态，善于自我激励（独立完整的自尊体系）</w:t>
      </w:r>
    </w:p>
    <w:p w14:paraId="639672D2" w14:textId="77777777" w:rsidR="00AB1857" w:rsidRDefault="00000000">
      <w:pPr>
        <w:widowControl/>
        <w:numPr>
          <w:ilvl w:val="0"/>
          <w:numId w:val="3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建立和运用良好的职场人际关系能力（帮助他人和寻求帮助）</w:t>
      </w:r>
    </w:p>
    <w:p w14:paraId="1DBFDB13" w14:textId="77777777" w:rsidR="00AB1857" w:rsidRDefault="00000000">
      <w:pPr>
        <w:widowControl/>
        <w:numPr>
          <w:ilvl w:val="0"/>
          <w:numId w:val="3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为了长远的目标，能牺牲眼前的利益（延迟满足）</w:t>
      </w:r>
    </w:p>
    <w:p w14:paraId="64443A3F" w14:textId="77777777" w:rsidR="00AB1857" w:rsidRDefault="00000000">
      <w:pPr>
        <w:widowControl/>
        <w:numPr>
          <w:ilvl w:val="0"/>
          <w:numId w:val="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衡量职业化素养的评价标准</w:t>
      </w:r>
    </w:p>
    <w:p w14:paraId="287B74A1" w14:textId="77777777" w:rsidR="00AB1857" w:rsidRDefault="00000000">
      <w:pPr>
        <w:widowControl/>
        <w:numPr>
          <w:ilvl w:val="0"/>
          <w:numId w:val="4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lastRenderedPageBreak/>
        <w:t>显性标准：知识、技能、形象等</w:t>
      </w:r>
    </w:p>
    <w:p w14:paraId="233613FD" w14:textId="77777777" w:rsidR="00AB1857" w:rsidRDefault="00000000">
      <w:pPr>
        <w:widowControl/>
        <w:numPr>
          <w:ilvl w:val="0"/>
          <w:numId w:val="4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隐性标准：态度、情商、思维等</w:t>
      </w:r>
    </w:p>
    <w:p w14:paraId="6CA9A008" w14:textId="77777777" w:rsidR="00AB1857" w:rsidRDefault="00000000">
      <w:pPr>
        <w:widowControl/>
        <w:numPr>
          <w:ilvl w:val="0"/>
          <w:numId w:val="4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隐形标准决定显性标准</w:t>
      </w:r>
    </w:p>
    <w:p w14:paraId="426D4BEA" w14:textId="77777777" w:rsidR="00AB1857" w:rsidRDefault="00AB1857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6063755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第二部分：高效制定工作目标的具体技巧与方法</w:t>
      </w:r>
    </w:p>
    <w:p w14:paraId="6785A439" w14:textId="77777777" w:rsidR="00AB1857" w:rsidRDefault="00000000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游戏体验：如何在团队配合的情况下，快速有效地完成工作任务？</w:t>
      </w:r>
    </w:p>
    <w:p w14:paraId="0CFA11BA" w14:textId="77777777" w:rsidR="00AB1857" w:rsidRDefault="00000000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1.目标的三种类型</w:t>
      </w:r>
    </w:p>
    <w:p w14:paraId="7086B913" w14:textId="40333298" w:rsidR="00AB1857" w:rsidRDefault="00000000">
      <w:pPr>
        <w:widowControl/>
        <w:numPr>
          <w:ilvl w:val="0"/>
          <w:numId w:val="5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愿景目标</w:t>
      </w:r>
      <w:r w:rsidR="0037247F">
        <w:rPr>
          <w:rFonts w:ascii="微软雅黑" w:eastAsia="微软雅黑" w:hAnsi="微软雅黑" w:hint="eastAsia"/>
          <w:sz w:val="24"/>
        </w:rPr>
        <w:t>：指明方向</w:t>
      </w:r>
    </w:p>
    <w:p w14:paraId="7B770A0E" w14:textId="703885F8" w:rsidR="00AB1857" w:rsidRDefault="00000000">
      <w:pPr>
        <w:widowControl/>
        <w:numPr>
          <w:ilvl w:val="0"/>
          <w:numId w:val="5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表现目标</w:t>
      </w:r>
      <w:r w:rsidR="0037247F">
        <w:rPr>
          <w:rFonts w:ascii="微软雅黑" w:eastAsia="微软雅黑" w:hAnsi="微软雅黑" w:hint="eastAsia"/>
          <w:sz w:val="24"/>
        </w:rPr>
        <w:t>：可量化衡量指标</w:t>
      </w:r>
    </w:p>
    <w:p w14:paraId="20C9BA8B" w14:textId="3D5ACFF0" w:rsidR="00AB1857" w:rsidRDefault="00000000">
      <w:pPr>
        <w:widowControl/>
        <w:numPr>
          <w:ilvl w:val="0"/>
          <w:numId w:val="5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行动目标</w:t>
      </w:r>
      <w:r w:rsidR="0037247F">
        <w:rPr>
          <w:rFonts w:ascii="微软雅黑" w:eastAsia="微软雅黑" w:hAnsi="微软雅黑" w:hint="eastAsia"/>
          <w:sz w:val="24"/>
        </w:rPr>
        <w:t>：具体可操作的方法</w:t>
      </w:r>
    </w:p>
    <w:p w14:paraId="760618EB" w14:textId="77777777" w:rsidR="00AB1857" w:rsidRDefault="00000000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2.找到目标关键价值链的三步技巧</w:t>
      </w:r>
    </w:p>
    <w:p w14:paraId="62F6F8F0" w14:textId="77777777" w:rsidR="00AB1857" w:rsidRDefault="00000000">
      <w:pPr>
        <w:pStyle w:val="a7"/>
        <w:widowControl/>
        <w:numPr>
          <w:ilvl w:val="0"/>
          <w:numId w:val="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目标完成的关键公式</w:t>
      </w:r>
    </w:p>
    <w:p w14:paraId="37B8FBE9" w14:textId="77777777" w:rsidR="00AB1857" w:rsidRDefault="00000000">
      <w:pPr>
        <w:pStyle w:val="a7"/>
        <w:widowControl/>
        <w:numPr>
          <w:ilvl w:val="0"/>
          <w:numId w:val="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具体到每个点的高效解决方法</w:t>
      </w:r>
    </w:p>
    <w:p w14:paraId="4EA4E2A0" w14:textId="77777777" w:rsidR="00AB1857" w:rsidRDefault="00000000">
      <w:pPr>
        <w:pStyle w:val="a7"/>
        <w:widowControl/>
        <w:numPr>
          <w:ilvl w:val="0"/>
          <w:numId w:val="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优化关键价值链的关键方法</w:t>
      </w:r>
    </w:p>
    <w:p w14:paraId="2696EAD2" w14:textId="77777777" w:rsidR="00AB1857" w:rsidRDefault="00000000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3. 案例分析与讨论：如何制定有效的新一年工作计划？</w:t>
      </w:r>
    </w:p>
    <w:p w14:paraId="06BB33D6" w14:textId="77777777" w:rsidR="00AB1857" w:rsidRDefault="00AB1857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56C05F66" w14:textId="77777777" w:rsidR="00AB1857" w:rsidRDefault="00000000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三部分</w:t>
      </w:r>
      <w:r>
        <w:rPr>
          <w:rFonts w:ascii="微软雅黑" w:eastAsia="微软雅黑" w:hAnsi="微软雅黑"/>
          <w:b/>
          <w:sz w:val="24"/>
        </w:rPr>
        <w:t>：</w:t>
      </w:r>
      <w:r>
        <w:rPr>
          <w:rFonts w:ascii="微软雅黑" w:eastAsia="微软雅黑" w:hAnsi="微软雅黑" w:hint="eastAsia"/>
          <w:b/>
          <w:sz w:val="24"/>
        </w:rPr>
        <w:t>提升自己在工作中统筹规划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能力的意识与方法</w:t>
      </w:r>
    </w:p>
    <w:p w14:paraId="2D18B0E9" w14:textId="77777777" w:rsidR="00AB1857" w:rsidRDefault="00000000">
      <w:pPr>
        <w:widowControl/>
        <w:spacing w:line="360" w:lineRule="auto"/>
        <w:ind w:left="36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1、培养班组长的系统全局思维能力的重要性和要点</w:t>
      </w:r>
    </w:p>
    <w:p w14:paraId="2747A0DB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案例分析：“三个石匠”的故事</w:t>
      </w:r>
    </w:p>
    <w:p w14:paraId="01F2AC9B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系统的四种类型</w:t>
      </w:r>
    </w:p>
    <w:p w14:paraId="55D46EE1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系统思考的三个要点</w:t>
      </w:r>
    </w:p>
    <w:p w14:paraId="51AE8CE6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系统思考的三个层级</w:t>
      </w:r>
    </w:p>
    <w:p w14:paraId="30603842" w14:textId="77777777" w:rsidR="00AB1857" w:rsidRDefault="00000000">
      <w:pPr>
        <w:pStyle w:val="a7"/>
        <w:widowControl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班组长要学会有效地在工作中做系统规划</w:t>
      </w:r>
    </w:p>
    <w:p w14:paraId="765B1A9C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决定与决策之间的区别</w:t>
      </w:r>
    </w:p>
    <w:p w14:paraId="2018BC53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通过事件本身学会掌握背后的系统规律</w:t>
      </w:r>
    </w:p>
    <w:p w14:paraId="6FFD741F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提升统筹规划能力的工具（四象限法则）</w:t>
      </w:r>
    </w:p>
    <w:p w14:paraId="695CBD66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案例讨论：如何用整体性思维去看待员工的表现</w:t>
      </w:r>
    </w:p>
    <w:p w14:paraId="25DAE0E0" w14:textId="77777777" w:rsidR="00AB1857" w:rsidRDefault="00AB1857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58F1BDA7" w14:textId="77777777" w:rsidR="00AB1857" w:rsidRDefault="00000000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四部分</w:t>
      </w:r>
      <w:r>
        <w:rPr>
          <w:rFonts w:ascii="微软雅黑" w:eastAsia="微软雅黑" w:hAnsi="微软雅黑"/>
          <w:b/>
          <w:sz w:val="24"/>
        </w:rPr>
        <w:t>：</w:t>
      </w:r>
      <w:r>
        <w:rPr>
          <w:rFonts w:ascii="微软雅黑" w:eastAsia="微软雅黑" w:hAnsi="微软雅黑" w:hint="eastAsia"/>
          <w:b/>
          <w:sz w:val="24"/>
        </w:rPr>
        <w:t>通过有效的组织和沟通来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提升团队管理能力</w:t>
      </w:r>
    </w:p>
    <w:p w14:paraId="4D05860F" w14:textId="77777777" w:rsidR="00AB1857" w:rsidRDefault="00000000">
      <w:pPr>
        <w:pStyle w:val="a7"/>
        <w:widowControl/>
        <w:numPr>
          <w:ilvl w:val="0"/>
          <w:numId w:val="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团队冲突类型的识别与破解技巧</w:t>
      </w:r>
    </w:p>
    <w:p w14:paraId="67F4D7D8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工作层面的公开冲突</w:t>
      </w:r>
    </w:p>
    <w:p w14:paraId="370976F9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人际层面的公开冲突</w:t>
      </w:r>
    </w:p>
    <w:p w14:paraId="012611D1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工作层面的隐形冲突</w:t>
      </w:r>
    </w:p>
    <w:p w14:paraId="2C862CDC" w14:textId="77777777" w:rsidR="00AB1857" w:rsidRDefault="00000000">
      <w:pPr>
        <w:widowControl/>
        <w:numPr>
          <w:ilvl w:val="0"/>
          <w:numId w:val="7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人际层面的隐形冲突</w:t>
      </w:r>
    </w:p>
    <w:p w14:paraId="3273B4AA" w14:textId="77777777" w:rsidR="00AB1857" w:rsidRDefault="00000000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批评下属的三种情境及相应方法</w:t>
      </w:r>
    </w:p>
    <w:p w14:paraId="1BE69A57" w14:textId="77777777" w:rsidR="00AB1857" w:rsidRDefault="00000000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三明治法：员工性格成熟度低，且你与员工关系生疏</w:t>
      </w:r>
    </w:p>
    <w:p w14:paraId="78BBBCC1" w14:textId="77777777" w:rsidR="00AB1857" w:rsidRDefault="00000000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先批评后表扬：员工性格成熟度一般，你与员工关系一般</w:t>
      </w:r>
    </w:p>
    <w:p w14:paraId="554522B3" w14:textId="77777777" w:rsidR="00AB1857" w:rsidRDefault="00000000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严父法：员工性格成熟度高，且你与员工关系相对亲近</w:t>
      </w:r>
    </w:p>
    <w:p w14:paraId="58510285" w14:textId="77777777" w:rsidR="00AB1857" w:rsidRDefault="00000000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如何用正向二级反馈来来塑造团队成员的正向行为；</w:t>
      </w:r>
    </w:p>
    <w:p w14:paraId="36DA8BD2" w14:textId="77777777" w:rsidR="00AB1857" w:rsidRDefault="00000000">
      <w:pPr>
        <w:numPr>
          <w:ilvl w:val="0"/>
          <w:numId w:val="1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对沟通对象正向行为的零级反馈——漠视</w:t>
      </w:r>
    </w:p>
    <w:p w14:paraId="7932D984" w14:textId="77777777" w:rsidR="00AB1857" w:rsidRDefault="00000000">
      <w:pPr>
        <w:numPr>
          <w:ilvl w:val="0"/>
          <w:numId w:val="1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对沟通对象正向行为的一级反馈——给予物质与职位上的奖励</w:t>
      </w:r>
    </w:p>
    <w:p w14:paraId="2ECFA22D" w14:textId="77777777" w:rsidR="00AB1857" w:rsidRDefault="00000000">
      <w:pPr>
        <w:numPr>
          <w:ilvl w:val="0"/>
          <w:numId w:val="11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对沟通对象正向行为的二级反馈——赞美+为什么（塑造正向行为）</w:t>
      </w:r>
    </w:p>
    <w:p w14:paraId="6E8D70B0" w14:textId="77777777" w:rsidR="00AB1857" w:rsidRDefault="00000000">
      <w:pPr>
        <w:numPr>
          <w:ilvl w:val="0"/>
          <w:numId w:val="9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如何用负向的B</w:t>
      </w:r>
      <w:r>
        <w:rPr>
          <w:rFonts w:ascii="微软雅黑" w:eastAsia="微软雅黑" w:hAnsi="微软雅黑"/>
          <w:bCs/>
          <w:sz w:val="24"/>
        </w:rPr>
        <w:t>IC</w:t>
      </w:r>
      <w:r>
        <w:rPr>
          <w:rFonts w:ascii="微软雅黑" w:eastAsia="微软雅黑" w:hAnsi="微软雅黑" w:hint="eastAsia"/>
          <w:bCs/>
          <w:sz w:val="24"/>
        </w:rPr>
        <w:t>反馈法来改进团队成员的负面行为；</w:t>
      </w:r>
    </w:p>
    <w:p w14:paraId="4328EFB2" w14:textId="77777777" w:rsidR="00AB1857" w:rsidRDefault="00000000">
      <w:pPr>
        <w:numPr>
          <w:ilvl w:val="0"/>
          <w:numId w:val="1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描述行为：避免使用观点性话语</w:t>
      </w:r>
    </w:p>
    <w:p w14:paraId="14805EE7" w14:textId="77777777" w:rsidR="00AB1857" w:rsidRDefault="00000000">
      <w:pPr>
        <w:numPr>
          <w:ilvl w:val="0"/>
          <w:numId w:val="1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描述影响：表达该行为的短期影响</w:t>
      </w:r>
    </w:p>
    <w:p w14:paraId="1BC5723A" w14:textId="77777777" w:rsidR="00AB1857" w:rsidRDefault="00000000">
      <w:pPr>
        <w:numPr>
          <w:ilvl w:val="0"/>
          <w:numId w:val="1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lastRenderedPageBreak/>
        <w:t>阐述后果：表达该行为的长期后果</w:t>
      </w:r>
    </w:p>
    <w:p w14:paraId="00BBD84A" w14:textId="77777777" w:rsidR="00AB1857" w:rsidRDefault="00000000">
      <w:pPr>
        <w:numPr>
          <w:ilvl w:val="0"/>
          <w:numId w:val="12"/>
        </w:numPr>
        <w:spacing w:line="360" w:lineRule="auto"/>
        <w:rPr>
          <w:rFonts w:ascii="微软雅黑" w:eastAsia="微软雅黑" w:hAnsi="微软雅黑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>负向反馈的六个注意事项</w:t>
      </w:r>
    </w:p>
    <w:p w14:paraId="416551B8" w14:textId="77777777" w:rsidR="00AB1857" w:rsidRDefault="00AB1857">
      <w:pPr>
        <w:spacing w:line="360" w:lineRule="auto"/>
        <w:ind w:left="360"/>
        <w:rPr>
          <w:rFonts w:ascii="微软雅黑" w:eastAsia="微软雅黑" w:hAnsi="微软雅黑"/>
          <w:sz w:val="24"/>
        </w:rPr>
      </w:pPr>
    </w:p>
    <w:sectPr w:rsidR="00AB1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42560"/>
    <w:multiLevelType w:val="multilevel"/>
    <w:tmpl w:val="16142560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49512F7"/>
    <w:multiLevelType w:val="multilevel"/>
    <w:tmpl w:val="249512F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914396"/>
    <w:multiLevelType w:val="multilevel"/>
    <w:tmpl w:val="269143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E0D614E"/>
    <w:multiLevelType w:val="multilevel"/>
    <w:tmpl w:val="2E0D614E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D40291"/>
    <w:multiLevelType w:val="multilevel"/>
    <w:tmpl w:val="2FD40291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3A0F1437"/>
    <w:multiLevelType w:val="multilevel"/>
    <w:tmpl w:val="3A0F143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340BAC"/>
    <w:multiLevelType w:val="multilevel"/>
    <w:tmpl w:val="3E340BAC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3FEC7800"/>
    <w:multiLevelType w:val="multilevel"/>
    <w:tmpl w:val="3FEC780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3739A4"/>
    <w:multiLevelType w:val="multilevel"/>
    <w:tmpl w:val="443739A4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55CD6B63"/>
    <w:multiLevelType w:val="multilevel"/>
    <w:tmpl w:val="55CD6B63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A0F35B2"/>
    <w:multiLevelType w:val="multilevel"/>
    <w:tmpl w:val="5A0F35B2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78702CBE"/>
    <w:multiLevelType w:val="multilevel"/>
    <w:tmpl w:val="78702CBE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1612274828">
    <w:abstractNumId w:val="1"/>
  </w:num>
  <w:num w:numId="2" w16cid:durableId="614022364">
    <w:abstractNumId w:val="10"/>
  </w:num>
  <w:num w:numId="3" w16cid:durableId="2134669625">
    <w:abstractNumId w:val="4"/>
  </w:num>
  <w:num w:numId="4" w16cid:durableId="1116410071">
    <w:abstractNumId w:val="6"/>
  </w:num>
  <w:num w:numId="5" w16cid:durableId="140657357">
    <w:abstractNumId w:val="5"/>
  </w:num>
  <w:num w:numId="6" w16cid:durableId="470100156">
    <w:abstractNumId w:val="7"/>
  </w:num>
  <w:num w:numId="7" w16cid:durableId="877276143">
    <w:abstractNumId w:val="8"/>
  </w:num>
  <w:num w:numId="8" w16cid:durableId="1485197850">
    <w:abstractNumId w:val="2"/>
  </w:num>
  <w:num w:numId="9" w16cid:durableId="1789886118">
    <w:abstractNumId w:val="3"/>
  </w:num>
  <w:num w:numId="10" w16cid:durableId="958413352">
    <w:abstractNumId w:val="0"/>
  </w:num>
  <w:num w:numId="11" w16cid:durableId="1491631303">
    <w:abstractNumId w:val="9"/>
  </w:num>
  <w:num w:numId="12" w16cid:durableId="8620897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D98"/>
    <w:rsid w:val="00003694"/>
    <w:rsid w:val="00055AED"/>
    <w:rsid w:val="0006377B"/>
    <w:rsid w:val="000922D0"/>
    <w:rsid w:val="0009265B"/>
    <w:rsid w:val="000A1F76"/>
    <w:rsid w:val="000B2849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EDF"/>
    <w:rsid w:val="00211FE2"/>
    <w:rsid w:val="00221BF1"/>
    <w:rsid w:val="002364D7"/>
    <w:rsid w:val="002376F6"/>
    <w:rsid w:val="002528DA"/>
    <w:rsid w:val="0027661F"/>
    <w:rsid w:val="00293B3E"/>
    <w:rsid w:val="002F2020"/>
    <w:rsid w:val="0030647D"/>
    <w:rsid w:val="0032538D"/>
    <w:rsid w:val="0035220B"/>
    <w:rsid w:val="0037247F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A24AB"/>
    <w:rsid w:val="005B2520"/>
    <w:rsid w:val="005E36E6"/>
    <w:rsid w:val="005F15BA"/>
    <w:rsid w:val="00616F0C"/>
    <w:rsid w:val="00623EAD"/>
    <w:rsid w:val="00637499"/>
    <w:rsid w:val="006A2618"/>
    <w:rsid w:val="00727688"/>
    <w:rsid w:val="00767A24"/>
    <w:rsid w:val="007D7460"/>
    <w:rsid w:val="00802FDB"/>
    <w:rsid w:val="00847FE7"/>
    <w:rsid w:val="0086364C"/>
    <w:rsid w:val="008875B8"/>
    <w:rsid w:val="008A5F11"/>
    <w:rsid w:val="008C2750"/>
    <w:rsid w:val="00901510"/>
    <w:rsid w:val="00903C75"/>
    <w:rsid w:val="009421F9"/>
    <w:rsid w:val="0094620D"/>
    <w:rsid w:val="0096442B"/>
    <w:rsid w:val="009B0293"/>
    <w:rsid w:val="009B4758"/>
    <w:rsid w:val="00A0402C"/>
    <w:rsid w:val="00A16119"/>
    <w:rsid w:val="00A2319A"/>
    <w:rsid w:val="00A252DD"/>
    <w:rsid w:val="00A33E73"/>
    <w:rsid w:val="00A439D9"/>
    <w:rsid w:val="00A74780"/>
    <w:rsid w:val="00A7539C"/>
    <w:rsid w:val="00A97CAA"/>
    <w:rsid w:val="00AA4E8B"/>
    <w:rsid w:val="00AB1857"/>
    <w:rsid w:val="00AC7F05"/>
    <w:rsid w:val="00AE1FE5"/>
    <w:rsid w:val="00B31BBF"/>
    <w:rsid w:val="00B42EBB"/>
    <w:rsid w:val="00B45E3A"/>
    <w:rsid w:val="00B568E6"/>
    <w:rsid w:val="00B57F6F"/>
    <w:rsid w:val="00B93A5A"/>
    <w:rsid w:val="00BB1B6D"/>
    <w:rsid w:val="00BC5802"/>
    <w:rsid w:val="00BD1109"/>
    <w:rsid w:val="00BD1AF4"/>
    <w:rsid w:val="00BE51FA"/>
    <w:rsid w:val="00C00610"/>
    <w:rsid w:val="00C552FE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E4784"/>
    <w:rsid w:val="00EF4CEC"/>
    <w:rsid w:val="00F5580B"/>
    <w:rsid w:val="00F56521"/>
    <w:rsid w:val="00FA6D69"/>
    <w:rsid w:val="00FD509F"/>
    <w:rsid w:val="25BC1AB8"/>
    <w:rsid w:val="36396084"/>
    <w:rsid w:val="40B40980"/>
    <w:rsid w:val="69C70B8E"/>
    <w:rsid w:val="72684CDA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A6A29"/>
  <w15:docId w15:val="{19EFEA76-1E48-45ED-B5A5-D4066B28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4</cp:revision>
  <dcterms:created xsi:type="dcterms:W3CDTF">2022-03-09T01:55:00Z</dcterms:created>
  <dcterms:modified xsi:type="dcterms:W3CDTF">2023-12-16T06:59:00Z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3956B0FD265D43D8A84AC8841793BE41</vt:lpwstr>
  </property>
</Properties>
</file>